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1767585" w14:textId="580CB847" w:rsidR="00241785" w:rsidRDefault="005B47AA">
      <w:pPr>
        <w:pBdr>
          <w:top w:val="nil"/>
          <w:left w:val="nil"/>
          <w:bottom w:val="nil"/>
          <w:right w:val="nil"/>
          <w:between w:val="nil"/>
        </w:pBdr>
        <w:tabs>
          <w:tab w:val="left" w:pos="284"/>
        </w:tabs>
        <w:spacing w:line="276" w:lineRule="auto"/>
        <w:jc w:val="center"/>
        <w:rPr>
          <w:b/>
          <w:sz w:val="22"/>
          <w:szCs w:val="22"/>
        </w:rPr>
      </w:pPr>
      <w:bookmarkStart w:id="0" w:name="_GoBack"/>
      <w:bookmarkEnd w:id="0"/>
      <w:r>
        <w:rPr>
          <w:b/>
          <w:sz w:val="22"/>
          <w:szCs w:val="22"/>
        </w:rPr>
        <w:t xml:space="preserve">\PROYECTO DE ACUERDO </w:t>
      </w:r>
      <w:r w:rsidR="006769B4">
        <w:rPr>
          <w:b/>
          <w:sz w:val="22"/>
          <w:szCs w:val="22"/>
        </w:rPr>
        <w:t>092</w:t>
      </w:r>
      <w:r>
        <w:rPr>
          <w:b/>
          <w:sz w:val="22"/>
          <w:szCs w:val="22"/>
        </w:rPr>
        <w:t xml:space="preserve"> DE 2025</w:t>
      </w:r>
    </w:p>
    <w:p w14:paraId="388717C7" w14:textId="77777777" w:rsidR="00241785" w:rsidRDefault="00241785">
      <w:pPr>
        <w:pBdr>
          <w:top w:val="nil"/>
          <w:left w:val="nil"/>
          <w:bottom w:val="nil"/>
          <w:right w:val="nil"/>
          <w:between w:val="nil"/>
        </w:pBdr>
        <w:tabs>
          <w:tab w:val="left" w:pos="284"/>
        </w:tabs>
        <w:spacing w:line="276" w:lineRule="auto"/>
        <w:jc w:val="center"/>
        <w:rPr>
          <w:b/>
          <w:sz w:val="22"/>
          <w:szCs w:val="22"/>
        </w:rPr>
      </w:pPr>
      <w:bookmarkStart w:id="1" w:name="_heading=h.6vajfhri0po" w:colFirst="0" w:colLast="0"/>
      <w:bookmarkEnd w:id="1"/>
    </w:p>
    <w:p w14:paraId="31A80A6E" w14:textId="77777777" w:rsidR="00241785" w:rsidRDefault="00C72DE6">
      <w:pPr>
        <w:tabs>
          <w:tab w:val="left" w:pos="284"/>
        </w:tabs>
        <w:spacing w:line="276" w:lineRule="auto"/>
        <w:jc w:val="center"/>
        <w:rPr>
          <w:b/>
          <w:sz w:val="22"/>
          <w:szCs w:val="22"/>
        </w:rPr>
      </w:pPr>
      <w:r>
        <w:rPr>
          <w:b/>
          <w:sz w:val="22"/>
          <w:szCs w:val="22"/>
        </w:rPr>
        <w:t>“Por medio del cual se institucionaliza la “Expo Restrepo” como un evento insignia del sector cuero, calzado, marroquinería y afines en el Distrito Capital, y se dictan otras disposiciones.”</w:t>
      </w:r>
    </w:p>
    <w:p w14:paraId="16A4FACD" w14:textId="77777777" w:rsidR="00241785" w:rsidRDefault="00241785">
      <w:pPr>
        <w:pBdr>
          <w:top w:val="nil"/>
          <w:left w:val="nil"/>
          <w:bottom w:val="nil"/>
          <w:right w:val="nil"/>
          <w:between w:val="nil"/>
        </w:pBdr>
        <w:tabs>
          <w:tab w:val="left" w:pos="284"/>
        </w:tabs>
        <w:spacing w:line="276" w:lineRule="auto"/>
        <w:jc w:val="center"/>
        <w:rPr>
          <w:b/>
          <w:sz w:val="22"/>
          <w:szCs w:val="22"/>
        </w:rPr>
      </w:pPr>
      <w:bookmarkStart w:id="2" w:name="_heading=h.97lqwmptxn22" w:colFirst="0" w:colLast="0"/>
      <w:bookmarkEnd w:id="2"/>
    </w:p>
    <w:p w14:paraId="52363FF8" w14:textId="77777777" w:rsidR="00241785" w:rsidRDefault="00241785">
      <w:pPr>
        <w:tabs>
          <w:tab w:val="left" w:pos="284"/>
        </w:tabs>
        <w:spacing w:line="276" w:lineRule="auto"/>
        <w:jc w:val="center"/>
        <w:rPr>
          <w:b/>
          <w:sz w:val="22"/>
          <w:szCs w:val="22"/>
        </w:rPr>
      </w:pPr>
    </w:p>
    <w:p w14:paraId="06410176" w14:textId="77777777" w:rsidR="00241785" w:rsidRDefault="00C72DE6">
      <w:pPr>
        <w:numPr>
          <w:ilvl w:val="0"/>
          <w:numId w:val="5"/>
        </w:numPr>
        <w:pBdr>
          <w:top w:val="nil"/>
          <w:left w:val="nil"/>
          <w:bottom w:val="nil"/>
          <w:right w:val="nil"/>
          <w:between w:val="nil"/>
        </w:pBdr>
        <w:tabs>
          <w:tab w:val="left" w:pos="284"/>
        </w:tabs>
        <w:spacing w:after="160" w:line="276" w:lineRule="auto"/>
        <w:jc w:val="both"/>
        <w:rPr>
          <w:sz w:val="22"/>
          <w:szCs w:val="22"/>
        </w:rPr>
      </w:pPr>
      <w:r>
        <w:rPr>
          <w:b/>
          <w:sz w:val="22"/>
          <w:szCs w:val="22"/>
        </w:rPr>
        <w:t>OBJETO</w:t>
      </w:r>
    </w:p>
    <w:p w14:paraId="06E1C2B8" w14:textId="77777777" w:rsidR="00241785" w:rsidRDefault="00C72DE6">
      <w:pPr>
        <w:tabs>
          <w:tab w:val="left" w:pos="284"/>
        </w:tabs>
        <w:spacing w:line="276" w:lineRule="auto"/>
        <w:jc w:val="both"/>
        <w:rPr>
          <w:sz w:val="22"/>
          <w:szCs w:val="22"/>
        </w:rPr>
      </w:pPr>
      <w:r>
        <w:rPr>
          <w:sz w:val="22"/>
          <w:szCs w:val="22"/>
          <w:highlight w:val="white"/>
        </w:rPr>
        <w:t>El presente Acuerdo tiene por objeto institucionalizar la “Expo Restrepo” como un evento anual de interés Distrital, orientado a la promoción y fortalecimiento del sector cuero, calzado, marroquinería y afines, representativo del barrio Restrepo ubicado en la localidad de Antonio Nariño. Este evento se realizará anualmente en el Parque de la 93 durante el mes de noviembre, consolidándose como un espacio para la visibilización, comercialización e impulso del desarrollo económico y cultural de este sector tradicional.</w:t>
      </w:r>
    </w:p>
    <w:p w14:paraId="1DF7BED3" w14:textId="77777777" w:rsidR="00241785" w:rsidRDefault="00241785">
      <w:pPr>
        <w:tabs>
          <w:tab w:val="left" w:pos="284"/>
        </w:tabs>
        <w:spacing w:line="276" w:lineRule="auto"/>
        <w:jc w:val="both"/>
        <w:rPr>
          <w:sz w:val="22"/>
          <w:szCs w:val="22"/>
        </w:rPr>
      </w:pPr>
    </w:p>
    <w:p w14:paraId="44605E0C" w14:textId="77777777" w:rsidR="00241785" w:rsidRDefault="00C72DE6">
      <w:pPr>
        <w:numPr>
          <w:ilvl w:val="0"/>
          <w:numId w:val="5"/>
        </w:numPr>
        <w:pBdr>
          <w:top w:val="nil"/>
          <w:left w:val="nil"/>
          <w:bottom w:val="nil"/>
          <w:right w:val="nil"/>
          <w:between w:val="nil"/>
        </w:pBdr>
        <w:tabs>
          <w:tab w:val="left" w:pos="284"/>
        </w:tabs>
        <w:spacing w:after="120" w:line="276" w:lineRule="auto"/>
        <w:rPr>
          <w:sz w:val="22"/>
          <w:szCs w:val="22"/>
        </w:rPr>
      </w:pPr>
      <w:r>
        <w:rPr>
          <w:b/>
          <w:sz w:val="22"/>
          <w:szCs w:val="22"/>
        </w:rPr>
        <w:t>JUSTIFICACIÓN</w:t>
      </w:r>
    </w:p>
    <w:p w14:paraId="4004D172" w14:textId="77777777" w:rsidR="00241785" w:rsidRDefault="00C72DE6">
      <w:pPr>
        <w:pBdr>
          <w:top w:val="nil"/>
          <w:left w:val="nil"/>
          <w:bottom w:val="nil"/>
          <w:right w:val="nil"/>
          <w:between w:val="nil"/>
        </w:pBdr>
        <w:tabs>
          <w:tab w:val="left" w:pos="284"/>
        </w:tabs>
        <w:spacing w:after="120" w:line="276" w:lineRule="auto"/>
        <w:ind w:left="360"/>
        <w:rPr>
          <w:b/>
          <w:sz w:val="22"/>
          <w:szCs w:val="22"/>
        </w:rPr>
      </w:pPr>
      <w:r>
        <w:rPr>
          <w:b/>
          <w:sz w:val="22"/>
          <w:szCs w:val="22"/>
        </w:rPr>
        <w:t>2.1 Contexto del sector del cuero, calzado y marroquinería.</w:t>
      </w:r>
    </w:p>
    <w:p w14:paraId="13E3C926" w14:textId="33EA9C1B" w:rsidR="00241785" w:rsidRDefault="00C72DE6">
      <w:pPr>
        <w:tabs>
          <w:tab w:val="left" w:pos="284"/>
        </w:tabs>
        <w:spacing w:before="240" w:after="240" w:line="276" w:lineRule="auto"/>
        <w:jc w:val="both"/>
        <w:rPr>
          <w:sz w:val="22"/>
          <w:szCs w:val="22"/>
        </w:rPr>
      </w:pPr>
      <w:bookmarkStart w:id="3" w:name="_heading=h.gjdgxs" w:colFirst="0" w:colLast="0"/>
      <w:bookmarkEnd w:id="3"/>
      <w:r>
        <w:rPr>
          <w:sz w:val="22"/>
          <w:szCs w:val="22"/>
        </w:rPr>
        <w:t>El sector del cuero, calzado y marroquinería engloba la actividad industrial relacionada con el tratamiento y transformación del cuero, así como la manufactura de una amplia variedad de productos elaborados a partir de este insumo, incluyendo la producción de calzado en cuero y otros materiales. Este sector abarca un conjunto diverso de actividades que van desde la obtención y procesamiento del cuero, pasando por el diseño y fabricación de productos de marroquinería y calzado, hasta su comercialización y distribución en los diferentes mercados.</w:t>
      </w:r>
    </w:p>
    <w:p w14:paraId="24A87C44" w14:textId="75E6D5FD" w:rsidR="00241785" w:rsidRDefault="00C72DE6">
      <w:pPr>
        <w:tabs>
          <w:tab w:val="left" w:pos="284"/>
        </w:tabs>
        <w:spacing w:before="240" w:after="240" w:line="276" w:lineRule="auto"/>
        <w:jc w:val="both"/>
        <w:rPr>
          <w:sz w:val="22"/>
          <w:szCs w:val="22"/>
        </w:rPr>
      </w:pPr>
      <w:r>
        <w:rPr>
          <w:sz w:val="22"/>
          <w:szCs w:val="22"/>
        </w:rPr>
        <w:t>En términos económicos, el comportamiento del Producto Interno Bruto (PIB) del sector refleja su alta volatilidad, característica propia de una industria que depende en gran medida de la fluctuación de la demanda por los productos que ofrece. Esta demanda está estrechamente vinculada a factores como el nivel de ingresos, por no ser un bien básico, así como las tendencias de moda y los gustos cambiantes de los consumidores. Adicionalmente, el sector se ve afectado por factores externos, como la competencia de productos importados de bajo costo y la presencia de productos de contrabando, que impactan tanto en los precios como en la competitividad de la producción nacional.</w:t>
      </w:r>
    </w:p>
    <w:p w14:paraId="6EB3FECA" w14:textId="62C9DC70" w:rsidR="00241785" w:rsidRDefault="00C72DE6">
      <w:pPr>
        <w:tabs>
          <w:tab w:val="left" w:pos="284"/>
        </w:tabs>
        <w:spacing w:before="240" w:after="240" w:line="276" w:lineRule="auto"/>
        <w:jc w:val="both"/>
        <w:rPr>
          <w:sz w:val="22"/>
          <w:szCs w:val="22"/>
        </w:rPr>
      </w:pPr>
      <w:r>
        <w:rPr>
          <w:sz w:val="22"/>
          <w:szCs w:val="22"/>
        </w:rPr>
        <w:t>La naturaleza de esta volatilidad exige una constante adaptación a las dinámicas del mercado, lo que representa tanto un reto como una oportunidad para las empresas del sector. La capacidad de innovar en diseño, mejorar los procesos productivos y diversificar los mercados de exportación son factores clave para mitigar los efectos de estas fluctuaciones y fomentar el crecimiento sostenible de la industria.</w:t>
      </w:r>
    </w:p>
    <w:p w14:paraId="0A426D2B" w14:textId="77777777" w:rsidR="00241785" w:rsidRDefault="00C72DE6">
      <w:pPr>
        <w:tabs>
          <w:tab w:val="left" w:pos="284"/>
        </w:tabs>
        <w:spacing w:before="240" w:after="240" w:line="276" w:lineRule="auto"/>
        <w:jc w:val="both"/>
        <w:rPr>
          <w:b/>
          <w:sz w:val="22"/>
          <w:szCs w:val="22"/>
        </w:rPr>
      </w:pPr>
      <w:r>
        <w:rPr>
          <w:b/>
          <w:sz w:val="22"/>
          <w:szCs w:val="22"/>
        </w:rPr>
        <w:lastRenderedPageBreak/>
        <w:tab/>
        <w:t>2.2. Valor agregado de la industria manufacturera del cuero.</w:t>
      </w:r>
    </w:p>
    <w:p w14:paraId="3162BFBF" w14:textId="77777777" w:rsidR="00241785" w:rsidRDefault="00C72DE6">
      <w:pPr>
        <w:tabs>
          <w:tab w:val="left" w:pos="284"/>
        </w:tabs>
        <w:spacing w:before="240" w:after="240" w:line="276" w:lineRule="auto"/>
        <w:jc w:val="both"/>
        <w:rPr>
          <w:b/>
          <w:sz w:val="22"/>
          <w:szCs w:val="22"/>
        </w:rPr>
      </w:pPr>
      <w:r>
        <w:rPr>
          <w:sz w:val="22"/>
          <w:szCs w:val="22"/>
        </w:rPr>
        <w:t>Según datos del DANE</w:t>
      </w:r>
      <w:r>
        <w:rPr>
          <w:sz w:val="22"/>
          <w:szCs w:val="22"/>
          <w:vertAlign w:val="superscript"/>
        </w:rPr>
        <w:footnoteReference w:id="1"/>
      </w:r>
      <w:r>
        <w:rPr>
          <w:sz w:val="22"/>
          <w:szCs w:val="22"/>
        </w:rPr>
        <w:t>, en el tercer trimestre de 2024, el valor agregado de las industrias manufactureras registró una disminución del 1,3% en su serie original, en comparación con el mismo periodo de 2023. Esta tendencia se explica por los siguientes comportamientos (ver tabla 4): la fabricación de productos textiles, la confección de prendas de vestir, el curtido y recurtido de cueros, la fabricación de calzado, la producción de artículos de viaje, maletas, bolsos de mano y productos similares, así como la fabricación de artículos de talabartería y guarnicionería, y el adobo y teñido de pieles, que en conjunto disminuyeron un 1,5%.</w:t>
      </w:r>
    </w:p>
    <w:p w14:paraId="3462D3E9" w14:textId="77777777" w:rsidR="00241785" w:rsidRDefault="00C72DE6">
      <w:pPr>
        <w:tabs>
          <w:tab w:val="left" w:pos="284"/>
        </w:tabs>
        <w:spacing w:before="240" w:after="240" w:line="276" w:lineRule="auto"/>
        <w:jc w:val="center"/>
        <w:rPr>
          <w:b/>
          <w:color w:val="333333"/>
          <w:sz w:val="22"/>
          <w:szCs w:val="22"/>
        </w:rPr>
      </w:pPr>
      <w:r>
        <w:rPr>
          <w:b/>
          <w:noProof/>
          <w:color w:val="333333"/>
          <w:sz w:val="22"/>
          <w:szCs w:val="22"/>
          <w:lang w:val="es-CO" w:eastAsia="es-CO"/>
        </w:rPr>
        <w:drawing>
          <wp:inline distT="114300" distB="114300" distL="114300" distR="114300" wp14:anchorId="3AAE7BA2" wp14:editId="52C9BBC2">
            <wp:extent cx="4061460" cy="3838914"/>
            <wp:effectExtent l="0" t="0" r="0" b="0"/>
            <wp:docPr id="22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4061460" cy="3838914"/>
                    </a:xfrm>
                    <a:prstGeom prst="rect">
                      <a:avLst/>
                    </a:prstGeom>
                    <a:ln/>
                  </pic:spPr>
                </pic:pic>
              </a:graphicData>
            </a:graphic>
          </wp:inline>
        </w:drawing>
      </w:r>
    </w:p>
    <w:p w14:paraId="4E685D19" w14:textId="77777777" w:rsidR="00241785" w:rsidRDefault="00241785">
      <w:pPr>
        <w:tabs>
          <w:tab w:val="left" w:pos="284"/>
        </w:tabs>
        <w:spacing w:before="240" w:after="240" w:line="276" w:lineRule="auto"/>
        <w:jc w:val="both"/>
        <w:rPr>
          <w:b/>
          <w:sz w:val="22"/>
          <w:szCs w:val="22"/>
        </w:rPr>
      </w:pPr>
    </w:p>
    <w:p w14:paraId="14C85E8D" w14:textId="20ADCE52" w:rsidR="00241785" w:rsidRDefault="00C72DE6">
      <w:pPr>
        <w:tabs>
          <w:tab w:val="left" w:pos="284"/>
        </w:tabs>
        <w:spacing w:before="240" w:after="240" w:line="276" w:lineRule="auto"/>
        <w:jc w:val="both"/>
        <w:rPr>
          <w:sz w:val="22"/>
          <w:szCs w:val="22"/>
        </w:rPr>
      </w:pPr>
      <w:r>
        <w:rPr>
          <w:sz w:val="22"/>
          <w:szCs w:val="22"/>
        </w:rPr>
        <w:t>Asimismo, según el DANE en su Encuesta Mensual de Comercio (EMC)</w:t>
      </w:r>
      <w:r>
        <w:rPr>
          <w:sz w:val="22"/>
          <w:szCs w:val="22"/>
          <w:vertAlign w:val="superscript"/>
        </w:rPr>
        <w:footnoteReference w:id="2"/>
      </w:r>
      <w:r>
        <w:rPr>
          <w:sz w:val="22"/>
          <w:szCs w:val="22"/>
        </w:rPr>
        <w:t xml:space="preserve">, para el periodo de enero a septiembre de 2024 en comparación con el mismo periodo de 2023, las mayores </w:t>
      </w:r>
      <w:r>
        <w:rPr>
          <w:sz w:val="22"/>
          <w:szCs w:val="22"/>
        </w:rPr>
        <w:lastRenderedPageBreak/>
        <w:t xml:space="preserve">contribuciones negativas a las ventas se </w:t>
      </w:r>
      <w:r w:rsidR="00322D7C">
        <w:rPr>
          <w:sz w:val="22"/>
          <w:szCs w:val="22"/>
        </w:rPr>
        <w:t>presentó</w:t>
      </w:r>
      <w:r>
        <w:rPr>
          <w:sz w:val="22"/>
          <w:szCs w:val="22"/>
        </w:rPr>
        <w:t xml:space="preserve">́ en las empresas dedicadas a la venta de prendas de vestir y sus accesorios; calzado y </w:t>
      </w:r>
      <w:r w:rsidR="00322D7C">
        <w:rPr>
          <w:sz w:val="22"/>
          <w:szCs w:val="22"/>
        </w:rPr>
        <w:t>artículos</w:t>
      </w:r>
      <w:r>
        <w:rPr>
          <w:sz w:val="22"/>
          <w:szCs w:val="22"/>
        </w:rPr>
        <w:t xml:space="preserve"> </w:t>
      </w:r>
      <w:r w:rsidR="00322D7C">
        <w:rPr>
          <w:sz w:val="22"/>
          <w:szCs w:val="22"/>
        </w:rPr>
        <w:t>sucedáneos</w:t>
      </w:r>
      <w:r>
        <w:rPr>
          <w:sz w:val="22"/>
          <w:szCs w:val="22"/>
        </w:rPr>
        <w:t xml:space="preserve"> al cuero en establecimientos especializados con una </w:t>
      </w:r>
      <w:r w:rsidR="00322D7C">
        <w:rPr>
          <w:sz w:val="22"/>
          <w:szCs w:val="22"/>
        </w:rPr>
        <w:t>variación</w:t>
      </w:r>
      <w:r>
        <w:rPr>
          <w:sz w:val="22"/>
          <w:szCs w:val="22"/>
        </w:rPr>
        <w:t xml:space="preserve"> negativa de 11,4%, puntos porcentuales, tal y como se muestra en la siguiente gráfica:</w:t>
      </w:r>
    </w:p>
    <w:p w14:paraId="65E01239" w14:textId="77777777" w:rsidR="00241785" w:rsidRDefault="00C72DE6">
      <w:pPr>
        <w:tabs>
          <w:tab w:val="left" w:pos="284"/>
        </w:tabs>
        <w:spacing w:before="240" w:after="240" w:line="276" w:lineRule="auto"/>
        <w:jc w:val="center"/>
        <w:rPr>
          <w:sz w:val="22"/>
          <w:szCs w:val="22"/>
        </w:rPr>
      </w:pPr>
      <w:r>
        <w:rPr>
          <w:noProof/>
          <w:sz w:val="22"/>
          <w:szCs w:val="22"/>
          <w:lang w:val="es-CO" w:eastAsia="es-CO"/>
        </w:rPr>
        <w:drawing>
          <wp:inline distT="114300" distB="114300" distL="114300" distR="114300" wp14:anchorId="2034ED60" wp14:editId="298344EF">
            <wp:extent cx="4657725" cy="4490803"/>
            <wp:effectExtent l="0" t="0" r="0" b="0"/>
            <wp:docPr id="21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t="16256"/>
                    <a:stretch>
                      <a:fillRect/>
                    </a:stretch>
                  </pic:blipFill>
                  <pic:spPr>
                    <a:xfrm>
                      <a:off x="0" y="0"/>
                      <a:ext cx="4657725" cy="4490803"/>
                    </a:xfrm>
                    <a:prstGeom prst="rect">
                      <a:avLst/>
                    </a:prstGeom>
                    <a:ln/>
                  </pic:spPr>
                </pic:pic>
              </a:graphicData>
            </a:graphic>
          </wp:inline>
        </w:drawing>
      </w:r>
    </w:p>
    <w:p w14:paraId="7BB16C15" w14:textId="77777777" w:rsidR="00241785" w:rsidRDefault="00241785">
      <w:pPr>
        <w:tabs>
          <w:tab w:val="left" w:pos="284"/>
        </w:tabs>
        <w:spacing w:before="240" w:after="240" w:line="276" w:lineRule="auto"/>
        <w:jc w:val="both"/>
        <w:rPr>
          <w:b/>
          <w:sz w:val="22"/>
          <w:szCs w:val="22"/>
        </w:rPr>
      </w:pPr>
    </w:p>
    <w:p w14:paraId="608C58C3" w14:textId="77777777" w:rsidR="00241785" w:rsidRDefault="00C72DE6">
      <w:pPr>
        <w:tabs>
          <w:tab w:val="left" w:pos="284"/>
        </w:tabs>
        <w:spacing w:before="240" w:after="240" w:line="276" w:lineRule="auto"/>
        <w:jc w:val="both"/>
        <w:rPr>
          <w:b/>
          <w:sz w:val="22"/>
          <w:szCs w:val="22"/>
        </w:rPr>
      </w:pPr>
      <w:r>
        <w:rPr>
          <w:b/>
          <w:sz w:val="22"/>
          <w:szCs w:val="22"/>
        </w:rPr>
        <w:t>3.3. Panorama y Desafíos del Sector Cuero, Calzado y Marroquinería en Colombia: Impacto Económico y Competitividad</w:t>
      </w:r>
    </w:p>
    <w:p w14:paraId="033629B4" w14:textId="77777777" w:rsidR="00241785" w:rsidRDefault="00C72DE6">
      <w:pPr>
        <w:tabs>
          <w:tab w:val="left" w:pos="284"/>
        </w:tabs>
        <w:spacing w:before="240" w:after="240" w:line="276" w:lineRule="auto"/>
        <w:jc w:val="both"/>
        <w:rPr>
          <w:sz w:val="22"/>
          <w:szCs w:val="22"/>
        </w:rPr>
      </w:pPr>
      <w:r>
        <w:rPr>
          <w:sz w:val="22"/>
          <w:szCs w:val="22"/>
        </w:rPr>
        <w:t xml:space="preserve">El sector del cuero, calzado y marroquinería en Colombia constituye un motor clave para la economía nacional, con un impacto significativo en la generación de empleo, el comercio interno y la competitividad internacional. En la actualidad, más de </w:t>
      </w:r>
      <w:r>
        <w:rPr>
          <w:b/>
          <w:sz w:val="22"/>
          <w:szCs w:val="22"/>
        </w:rPr>
        <w:t>8.400 empresas</w:t>
      </w:r>
      <w:r>
        <w:rPr>
          <w:sz w:val="22"/>
          <w:szCs w:val="22"/>
        </w:rPr>
        <w:t xml:space="preserve"> formales integran esta industria, con una producción anual de </w:t>
      </w:r>
      <w:r>
        <w:rPr>
          <w:b/>
          <w:sz w:val="22"/>
          <w:szCs w:val="22"/>
        </w:rPr>
        <w:t>49,4 millones de pares de calzado</w:t>
      </w:r>
      <w:r>
        <w:rPr>
          <w:sz w:val="22"/>
          <w:szCs w:val="22"/>
        </w:rPr>
        <w:t xml:space="preserve">. </w:t>
      </w:r>
      <w:r>
        <w:rPr>
          <w:sz w:val="22"/>
          <w:szCs w:val="22"/>
        </w:rPr>
        <w:lastRenderedPageBreak/>
        <w:t xml:space="preserve">Además, genera alrededor de </w:t>
      </w:r>
      <w:r>
        <w:rPr>
          <w:b/>
          <w:sz w:val="22"/>
          <w:szCs w:val="22"/>
        </w:rPr>
        <w:t>130.000 empleos directos</w:t>
      </w:r>
      <w:r>
        <w:rPr>
          <w:sz w:val="22"/>
          <w:szCs w:val="22"/>
        </w:rPr>
        <w:t xml:space="preserve">, aunque esta cifra ha disminuido desde 2017, cuando se reportaban </w:t>
      </w:r>
      <w:r>
        <w:rPr>
          <w:b/>
          <w:sz w:val="22"/>
          <w:szCs w:val="22"/>
        </w:rPr>
        <w:t>170.000 puestos de trabajo</w:t>
      </w:r>
      <w:r>
        <w:rPr>
          <w:sz w:val="22"/>
          <w:szCs w:val="22"/>
        </w:rPr>
        <w:t>.</w:t>
      </w:r>
    </w:p>
    <w:p w14:paraId="4FEA9157" w14:textId="77777777" w:rsidR="00241785" w:rsidRDefault="00C72DE6">
      <w:pPr>
        <w:tabs>
          <w:tab w:val="left" w:pos="284"/>
        </w:tabs>
        <w:spacing w:before="240" w:after="240" w:line="276" w:lineRule="auto"/>
        <w:jc w:val="both"/>
        <w:rPr>
          <w:sz w:val="22"/>
          <w:szCs w:val="22"/>
        </w:rPr>
      </w:pPr>
      <w:r>
        <w:rPr>
          <w:sz w:val="22"/>
          <w:szCs w:val="22"/>
        </w:rPr>
        <w:t xml:space="preserve">En términos de consumo, en 2023, los colombianos compraron más de </w:t>
      </w:r>
      <w:r>
        <w:rPr>
          <w:b/>
          <w:sz w:val="22"/>
          <w:szCs w:val="22"/>
        </w:rPr>
        <w:t>120 millones de pares de zapatos</w:t>
      </w:r>
      <w:r>
        <w:rPr>
          <w:sz w:val="22"/>
          <w:szCs w:val="22"/>
        </w:rPr>
        <w:t xml:space="preserve">, lo que equivale a un promedio de dos pares por persona. Durante el primer semestre de 2024, el gasto en calzado ascendió a </w:t>
      </w:r>
      <w:r>
        <w:rPr>
          <w:b/>
          <w:sz w:val="22"/>
          <w:szCs w:val="22"/>
        </w:rPr>
        <w:t>$1,7 billones</w:t>
      </w:r>
      <w:r>
        <w:rPr>
          <w:sz w:val="22"/>
          <w:szCs w:val="22"/>
        </w:rPr>
        <w:t xml:space="preserve">, mientras que el de marroquinería alcanzó los </w:t>
      </w:r>
      <w:r>
        <w:rPr>
          <w:b/>
          <w:sz w:val="22"/>
          <w:szCs w:val="22"/>
        </w:rPr>
        <w:t>$186.508 millones</w:t>
      </w:r>
      <w:r>
        <w:rPr>
          <w:sz w:val="22"/>
          <w:szCs w:val="22"/>
        </w:rPr>
        <w:t>. Estos datos reflejan la importancia del sector en la dinámica económica de los hogares colombianos.</w:t>
      </w:r>
    </w:p>
    <w:p w14:paraId="74D6A43A" w14:textId="77777777" w:rsidR="00241785" w:rsidRDefault="00C72DE6">
      <w:pPr>
        <w:tabs>
          <w:tab w:val="left" w:pos="284"/>
        </w:tabs>
        <w:spacing w:before="240" w:after="240" w:line="276" w:lineRule="auto"/>
        <w:jc w:val="both"/>
        <w:rPr>
          <w:sz w:val="22"/>
          <w:szCs w:val="22"/>
        </w:rPr>
      </w:pPr>
      <w:r>
        <w:rPr>
          <w:sz w:val="22"/>
          <w:szCs w:val="22"/>
        </w:rPr>
        <w:t xml:space="preserve">A pesar de estas cifras positivas, el sector enfrenta importantes retos estructurales. Entre enero y mayo de 2024, la producción de calzado disminuyó un </w:t>
      </w:r>
      <w:r>
        <w:rPr>
          <w:b/>
          <w:sz w:val="22"/>
          <w:szCs w:val="22"/>
        </w:rPr>
        <w:t>4,2%</w:t>
      </w:r>
      <w:r>
        <w:rPr>
          <w:sz w:val="22"/>
          <w:szCs w:val="22"/>
        </w:rPr>
        <w:t xml:space="preserve">, afectada por la caída del consumo de los hogares y el ingreso de calzado de contrabando, el cual abarca el </w:t>
      </w:r>
      <w:r>
        <w:rPr>
          <w:b/>
          <w:sz w:val="22"/>
          <w:szCs w:val="22"/>
        </w:rPr>
        <w:t>25% del mercado</w:t>
      </w:r>
      <w:r>
        <w:rPr>
          <w:sz w:val="22"/>
          <w:szCs w:val="22"/>
        </w:rPr>
        <w:t>. Esta competencia desleal, proveniente en su mayoría de China, genera un entorno de alta informalidad y precios reducidos que afectan la sostenibilidad de los productores locales.</w:t>
      </w:r>
    </w:p>
    <w:p w14:paraId="69672BF2" w14:textId="77777777" w:rsidR="00241785" w:rsidRDefault="00C72DE6">
      <w:pPr>
        <w:tabs>
          <w:tab w:val="left" w:pos="284"/>
        </w:tabs>
        <w:spacing w:before="240" w:after="240" w:line="276" w:lineRule="auto"/>
        <w:jc w:val="both"/>
        <w:rPr>
          <w:sz w:val="22"/>
          <w:szCs w:val="22"/>
        </w:rPr>
      </w:pPr>
      <w:r>
        <w:rPr>
          <w:sz w:val="22"/>
          <w:szCs w:val="22"/>
        </w:rPr>
        <w:t xml:space="preserve">La importancia del sector se extiende más allá de las cifras; contribuye al desarrollo de regiones como Bogotá, Cundinamarca, Santander y Antioquia, que lideran la producción en el país. Sin embargo, estas regiones han registrado caídas significativas en sus indicadores: Bogotá, por ejemplo, disminuyó su producción en un </w:t>
      </w:r>
      <w:r>
        <w:rPr>
          <w:b/>
          <w:sz w:val="22"/>
          <w:szCs w:val="22"/>
        </w:rPr>
        <w:t>11,2%</w:t>
      </w:r>
      <w:r>
        <w:rPr>
          <w:sz w:val="22"/>
          <w:szCs w:val="22"/>
        </w:rPr>
        <w:t>.</w:t>
      </w:r>
      <w:r>
        <w:rPr>
          <w:sz w:val="22"/>
          <w:szCs w:val="22"/>
          <w:vertAlign w:val="superscript"/>
        </w:rPr>
        <w:footnoteReference w:id="3"/>
      </w:r>
    </w:p>
    <w:p w14:paraId="360DCBE4" w14:textId="77777777" w:rsidR="00241785" w:rsidRDefault="00C72DE6">
      <w:pPr>
        <w:tabs>
          <w:tab w:val="left" w:pos="284"/>
        </w:tabs>
        <w:spacing w:before="240" w:after="240" w:line="276" w:lineRule="auto"/>
        <w:jc w:val="both"/>
        <w:rPr>
          <w:sz w:val="22"/>
          <w:szCs w:val="22"/>
        </w:rPr>
      </w:pPr>
      <w:r>
        <w:rPr>
          <w:sz w:val="22"/>
          <w:szCs w:val="22"/>
        </w:rPr>
        <w:t xml:space="preserve">A nivel internacional, el sector ha mostrado resiliencia, con un aumento del </w:t>
      </w:r>
      <w:r>
        <w:rPr>
          <w:b/>
          <w:sz w:val="22"/>
          <w:szCs w:val="22"/>
        </w:rPr>
        <w:t>11%</w:t>
      </w:r>
      <w:r>
        <w:rPr>
          <w:sz w:val="22"/>
          <w:szCs w:val="22"/>
        </w:rPr>
        <w:t xml:space="preserve"> en las exportaciones de calzado durante 2024. Este desempeño refleja los esfuerzos por fortalecer la competitividad global y aprovechar el potencial de la industria, consolidándola como un eje estratégico para el desarrollo económico y social de Colombia.</w:t>
      </w:r>
      <w:r>
        <w:rPr>
          <w:sz w:val="22"/>
          <w:szCs w:val="22"/>
          <w:vertAlign w:val="superscript"/>
        </w:rPr>
        <w:footnoteReference w:id="4"/>
      </w:r>
    </w:p>
    <w:p w14:paraId="4A53AFA9" w14:textId="77777777" w:rsidR="00241785" w:rsidRDefault="00C72DE6">
      <w:pPr>
        <w:tabs>
          <w:tab w:val="left" w:pos="284"/>
        </w:tabs>
        <w:spacing w:before="240" w:after="240" w:line="276" w:lineRule="auto"/>
        <w:jc w:val="center"/>
        <w:rPr>
          <w:sz w:val="22"/>
          <w:szCs w:val="22"/>
        </w:rPr>
      </w:pPr>
      <w:r>
        <w:rPr>
          <w:noProof/>
          <w:sz w:val="22"/>
          <w:szCs w:val="22"/>
          <w:lang w:val="es-CO" w:eastAsia="es-CO"/>
        </w:rPr>
        <w:lastRenderedPageBreak/>
        <w:drawing>
          <wp:inline distT="114300" distB="114300" distL="114300" distR="114300" wp14:anchorId="2BF83C1F" wp14:editId="6D274D0C">
            <wp:extent cx="3788276" cy="4983387"/>
            <wp:effectExtent l="0" t="0" r="0" b="0"/>
            <wp:docPr id="21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0"/>
                    <a:srcRect b="20859"/>
                    <a:stretch>
                      <a:fillRect/>
                    </a:stretch>
                  </pic:blipFill>
                  <pic:spPr>
                    <a:xfrm>
                      <a:off x="0" y="0"/>
                      <a:ext cx="3788276" cy="4983387"/>
                    </a:xfrm>
                    <a:prstGeom prst="rect">
                      <a:avLst/>
                    </a:prstGeom>
                    <a:ln/>
                  </pic:spPr>
                </pic:pic>
              </a:graphicData>
            </a:graphic>
          </wp:inline>
        </w:drawing>
      </w:r>
    </w:p>
    <w:p w14:paraId="0786CB54" w14:textId="77777777" w:rsidR="00241785" w:rsidRDefault="00C72DE6">
      <w:pPr>
        <w:tabs>
          <w:tab w:val="left" w:pos="284"/>
        </w:tabs>
        <w:spacing w:before="240" w:after="240" w:line="276" w:lineRule="auto"/>
        <w:jc w:val="center"/>
        <w:rPr>
          <w:sz w:val="20"/>
          <w:szCs w:val="20"/>
        </w:rPr>
      </w:pPr>
      <w:r>
        <w:rPr>
          <w:b/>
          <w:sz w:val="20"/>
          <w:szCs w:val="20"/>
        </w:rPr>
        <w:t>Fuente</w:t>
      </w:r>
      <w:r>
        <w:rPr>
          <w:sz w:val="20"/>
          <w:szCs w:val="20"/>
        </w:rPr>
        <w:t>: Cámara de Comercio de Bogotá.</w:t>
      </w:r>
    </w:p>
    <w:p w14:paraId="5932FC54" w14:textId="77777777" w:rsidR="00241785" w:rsidRDefault="00C72DE6">
      <w:pPr>
        <w:tabs>
          <w:tab w:val="left" w:pos="284"/>
        </w:tabs>
        <w:spacing w:before="240" w:after="240" w:line="276" w:lineRule="auto"/>
        <w:jc w:val="both"/>
        <w:rPr>
          <w:b/>
          <w:sz w:val="22"/>
          <w:szCs w:val="22"/>
        </w:rPr>
      </w:pPr>
      <w:r>
        <w:rPr>
          <w:b/>
          <w:sz w:val="22"/>
          <w:szCs w:val="22"/>
        </w:rPr>
        <w:t>3.4. Relevancia del Clúster de Cuero, Calzado y Marroquinería en Bogotá y Cundinamarca.</w:t>
      </w:r>
    </w:p>
    <w:p w14:paraId="1406FFCE" w14:textId="77777777" w:rsidR="00241785" w:rsidRDefault="00C72DE6">
      <w:pPr>
        <w:tabs>
          <w:tab w:val="left" w:pos="284"/>
        </w:tabs>
        <w:spacing w:before="240" w:after="240" w:line="276" w:lineRule="auto"/>
        <w:jc w:val="both"/>
        <w:rPr>
          <w:sz w:val="22"/>
          <w:szCs w:val="22"/>
        </w:rPr>
      </w:pPr>
      <w:r>
        <w:rPr>
          <w:sz w:val="22"/>
          <w:szCs w:val="22"/>
        </w:rPr>
        <w:t>En mayo de 2022, la Cámara de Comercio de Bogotá, realizó un estudio en el que estableció los mapas del clúster de cuero, calzado y marroquinería en Bogotá y Cundinamarca</w:t>
      </w:r>
      <w:r>
        <w:rPr>
          <w:sz w:val="22"/>
          <w:szCs w:val="22"/>
          <w:vertAlign w:val="superscript"/>
        </w:rPr>
        <w:footnoteReference w:id="5"/>
      </w:r>
      <w:r>
        <w:rPr>
          <w:sz w:val="22"/>
          <w:szCs w:val="22"/>
        </w:rPr>
        <w:t xml:space="preserve">. El documento revela una dinámica empresarial robusta en el sector con un total de 4,962 empresas activas en Bogotá y Soacha. Esta concentración empresarial se caracteriza por una marcada presencia en las localidades del sur y centro de la ciudad, destacando zonas como Tunjuelito, Ciudad Bolívar, </w:t>
      </w:r>
      <w:r>
        <w:rPr>
          <w:b/>
          <w:sz w:val="22"/>
          <w:szCs w:val="22"/>
        </w:rPr>
        <w:t>Antonio Nariño</w:t>
      </w:r>
      <w:r>
        <w:rPr>
          <w:sz w:val="22"/>
          <w:szCs w:val="22"/>
        </w:rPr>
        <w:t>, Rafael Uribe, Los Mártires, Santa Fe y La Candelaria.</w:t>
      </w:r>
    </w:p>
    <w:p w14:paraId="6B903AC7" w14:textId="77777777" w:rsidR="00241785" w:rsidRDefault="00C72DE6">
      <w:pPr>
        <w:tabs>
          <w:tab w:val="left" w:pos="284"/>
        </w:tabs>
        <w:spacing w:before="240" w:after="240" w:line="276" w:lineRule="auto"/>
        <w:jc w:val="both"/>
        <w:rPr>
          <w:sz w:val="22"/>
          <w:szCs w:val="22"/>
        </w:rPr>
      </w:pPr>
      <w:r>
        <w:rPr>
          <w:sz w:val="22"/>
          <w:szCs w:val="22"/>
        </w:rPr>
        <w:t>El barrio Restrepo, ubicado en la localidad de Antonio Nariño, emerge como un punto estratégico en este ecosistema empresarial concentrando la mayor producción de cuero, calzado y marroquinería de la ciudad. Específicamente, las áreas de Restrepo Occidental y Restrepo son identificadas como hotspots de actividad económica, concentrando un número significativo de empresas dedicadas al procesamiento y transformación del cuero, así como a la producción de calzado y artículos de marroquinería.</w:t>
      </w:r>
    </w:p>
    <w:p w14:paraId="172BE64C" w14:textId="77777777" w:rsidR="00241785" w:rsidRDefault="00C72DE6">
      <w:pPr>
        <w:tabs>
          <w:tab w:val="left" w:pos="284"/>
        </w:tabs>
        <w:spacing w:before="240" w:after="240" w:line="276" w:lineRule="auto"/>
        <w:jc w:val="center"/>
        <w:rPr>
          <w:sz w:val="22"/>
          <w:szCs w:val="22"/>
        </w:rPr>
      </w:pPr>
      <w:r>
        <w:rPr>
          <w:noProof/>
          <w:sz w:val="22"/>
          <w:szCs w:val="22"/>
          <w:lang w:val="es-CO" w:eastAsia="es-CO"/>
        </w:rPr>
        <w:drawing>
          <wp:inline distT="114300" distB="114300" distL="114300" distR="114300" wp14:anchorId="17C3B2C2" wp14:editId="49AD7772">
            <wp:extent cx="5013960" cy="2919844"/>
            <wp:effectExtent l="0" t="0" r="0" b="0"/>
            <wp:docPr id="22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5013960" cy="2919844"/>
                    </a:xfrm>
                    <a:prstGeom prst="rect">
                      <a:avLst/>
                    </a:prstGeom>
                    <a:ln/>
                  </pic:spPr>
                </pic:pic>
              </a:graphicData>
            </a:graphic>
          </wp:inline>
        </w:drawing>
      </w:r>
    </w:p>
    <w:p w14:paraId="0A2EAAC9" w14:textId="77777777" w:rsidR="00241785" w:rsidRDefault="00C72DE6">
      <w:pPr>
        <w:tabs>
          <w:tab w:val="left" w:pos="284"/>
        </w:tabs>
        <w:spacing w:before="240" w:after="240" w:line="276" w:lineRule="auto"/>
        <w:jc w:val="both"/>
        <w:rPr>
          <w:b/>
          <w:sz w:val="22"/>
          <w:szCs w:val="22"/>
        </w:rPr>
      </w:pPr>
      <w:r>
        <w:rPr>
          <w:sz w:val="22"/>
          <w:szCs w:val="22"/>
        </w:rPr>
        <w:t xml:space="preserve">A nivel territorial, el estudio registra 5,374 empresas activas en las localidades de Bogotá y municipios de Cundinamarca, complementadas por 411 empresas adicionales en otros municipios. </w:t>
      </w:r>
      <w:r>
        <w:rPr>
          <w:b/>
          <w:sz w:val="22"/>
          <w:szCs w:val="22"/>
        </w:rPr>
        <w:t>Esta distribución refleja la importancia del sector como motor económico regional, con el barrio Restrepo posicionándose como un núcleo fundamental de esta industria.</w:t>
      </w:r>
    </w:p>
    <w:p w14:paraId="3B5A84D6" w14:textId="77777777" w:rsidR="00241785" w:rsidRDefault="00C72DE6">
      <w:pPr>
        <w:tabs>
          <w:tab w:val="left" w:pos="284"/>
        </w:tabs>
        <w:spacing w:before="240" w:after="240" w:line="276" w:lineRule="auto"/>
        <w:jc w:val="both"/>
        <w:rPr>
          <w:sz w:val="22"/>
          <w:szCs w:val="22"/>
        </w:rPr>
      </w:pPr>
      <w:r>
        <w:rPr>
          <w:sz w:val="22"/>
          <w:szCs w:val="22"/>
        </w:rPr>
        <w:t>La concentración empresarial en esta zona no es casual, sino resultado de una dinámica histórica de especialización y desarrollo económico local, donde la tradición del trabajo con cuero se ha consolidado como un elemento distintivo del tejido productivo bogotano.</w:t>
      </w:r>
    </w:p>
    <w:p w14:paraId="1AA6D8D7" w14:textId="77777777" w:rsidR="00241785" w:rsidRDefault="00241785">
      <w:pPr>
        <w:tabs>
          <w:tab w:val="left" w:pos="284"/>
        </w:tabs>
        <w:spacing w:before="240" w:after="240" w:line="276" w:lineRule="auto"/>
        <w:jc w:val="both"/>
        <w:rPr>
          <w:sz w:val="22"/>
          <w:szCs w:val="22"/>
        </w:rPr>
      </w:pPr>
    </w:p>
    <w:p w14:paraId="0DD97472" w14:textId="77777777" w:rsidR="00241785" w:rsidRDefault="00241785">
      <w:pPr>
        <w:tabs>
          <w:tab w:val="left" w:pos="284"/>
        </w:tabs>
        <w:spacing w:before="240" w:after="240" w:line="276" w:lineRule="auto"/>
        <w:jc w:val="both"/>
        <w:rPr>
          <w:sz w:val="22"/>
          <w:szCs w:val="22"/>
        </w:rPr>
      </w:pPr>
    </w:p>
    <w:p w14:paraId="6A54DFB3" w14:textId="77777777" w:rsidR="00241785" w:rsidRDefault="00C72DE6">
      <w:pPr>
        <w:tabs>
          <w:tab w:val="left" w:pos="284"/>
        </w:tabs>
        <w:spacing w:before="240" w:after="240" w:line="276" w:lineRule="auto"/>
        <w:jc w:val="both"/>
        <w:rPr>
          <w:b/>
          <w:sz w:val="22"/>
          <w:szCs w:val="22"/>
        </w:rPr>
      </w:pPr>
      <w:r>
        <w:rPr>
          <w:b/>
        </w:rPr>
        <w:t xml:space="preserve">3.5. </w:t>
      </w:r>
      <w:r>
        <w:rPr>
          <w:b/>
          <w:sz w:val="22"/>
          <w:szCs w:val="22"/>
        </w:rPr>
        <w:t>Clúster de Cuero, Calzado y Marroquinería en la Localidad de Antonio Nariño: Barrio Restrepo.</w:t>
      </w:r>
    </w:p>
    <w:p w14:paraId="5516CF43" w14:textId="77777777" w:rsidR="00241785" w:rsidRDefault="00C72DE6">
      <w:pPr>
        <w:tabs>
          <w:tab w:val="left" w:pos="284"/>
        </w:tabs>
        <w:spacing w:before="240" w:after="240" w:line="276" w:lineRule="auto"/>
        <w:jc w:val="both"/>
        <w:rPr>
          <w:b/>
          <w:sz w:val="22"/>
          <w:szCs w:val="22"/>
        </w:rPr>
      </w:pPr>
      <w:r>
        <w:rPr>
          <w:sz w:val="22"/>
          <w:szCs w:val="22"/>
        </w:rPr>
        <w:t xml:space="preserve">La actividad comercial predominante en la localidad de Antonio Nariño es el comercio al por menor de una amplia variedad de productos. En particular, el barrio Restrepo se destaca por la comercialización de prendas de vestir, cuero, calzado, marroquinería y sus derivados. Esta zona alberga una notable concentración de establecimientos comerciales, microempresas familiares y pequeñas empresas, muchas de las cuales están dedicadas principalmente a la producción de estos artículos. Aunque existe poca información oficial sobre el comportamiento económico del sector, el informe de caracterización territorial </w:t>
      </w:r>
      <w:r>
        <w:rPr>
          <w:i/>
          <w:sz w:val="22"/>
          <w:szCs w:val="22"/>
        </w:rPr>
        <w:t>"Restrepo Social e Incluyente</w:t>
      </w:r>
      <w:r>
        <w:rPr>
          <w:sz w:val="22"/>
          <w:szCs w:val="22"/>
        </w:rPr>
        <w:t>"</w:t>
      </w:r>
      <w:r>
        <w:rPr>
          <w:sz w:val="22"/>
          <w:szCs w:val="22"/>
          <w:vertAlign w:val="superscript"/>
        </w:rPr>
        <w:footnoteReference w:id="6"/>
      </w:r>
      <w:r>
        <w:rPr>
          <w:sz w:val="22"/>
          <w:szCs w:val="22"/>
        </w:rPr>
        <w:t>, elaborado por la Secretaría de Integración Social, y el Plan Local de Gestión de Riesgo 2023</w:t>
      </w:r>
      <w:r>
        <w:rPr>
          <w:sz w:val="22"/>
          <w:szCs w:val="22"/>
          <w:vertAlign w:val="superscript"/>
        </w:rPr>
        <w:footnoteReference w:id="7"/>
      </w:r>
      <w:r>
        <w:rPr>
          <w:sz w:val="22"/>
          <w:szCs w:val="22"/>
        </w:rPr>
        <w:t xml:space="preserve">, desarrollado por el IDIGER, evaluaron las actividades económicas de la zona destacando lo siguiente: </w:t>
      </w:r>
    </w:p>
    <w:p w14:paraId="671A1321" w14:textId="77777777" w:rsidR="00241785" w:rsidRDefault="00C72DE6">
      <w:pPr>
        <w:tabs>
          <w:tab w:val="left" w:pos="284"/>
        </w:tabs>
        <w:spacing w:before="240" w:after="240" w:line="276" w:lineRule="auto"/>
        <w:jc w:val="both"/>
        <w:rPr>
          <w:sz w:val="22"/>
          <w:szCs w:val="22"/>
        </w:rPr>
      </w:pPr>
      <w:r>
        <w:rPr>
          <w:sz w:val="22"/>
          <w:szCs w:val="22"/>
        </w:rPr>
        <w:t>El sector más relevante es el de prendas de vestir, cuero y calzado, que concentra aproximadamente el 40% de las empresas comerciales del barrio Restrepo. En menor medida, también se destacan los comercios de autopartes, accesorios y artículos de lujo para vehículos, especialmente en los barrios Restrepo y La Fraguita. Asimismo, se observa una importante presencia de establecimientos dedicados a la venta de alimentos, bebidas y tabaco, distribuidos por toda la localidad, así como de productos de consumo doméstico, textiles y artículos de cuero y calzado en tiendas especializadas, principalmente en los barrios Restrepo y Policarpa.</w:t>
      </w:r>
    </w:p>
    <w:p w14:paraId="6E5CD85D" w14:textId="77777777" w:rsidR="00241785" w:rsidRDefault="00C72DE6">
      <w:pPr>
        <w:tabs>
          <w:tab w:val="left" w:pos="284"/>
        </w:tabs>
        <w:spacing w:before="240" w:after="240" w:line="276" w:lineRule="auto"/>
        <w:jc w:val="both"/>
        <w:rPr>
          <w:sz w:val="22"/>
          <w:szCs w:val="22"/>
        </w:rPr>
      </w:pPr>
      <w:r>
        <w:rPr>
          <w:sz w:val="22"/>
          <w:szCs w:val="22"/>
        </w:rPr>
        <w:t>En cuanto a la actividad industrial, en 2004 se registraron en la localidad 1.143 industrias, la mayoría de ellas microempresas. Las principales actividades industriales de la zona están relacionadas con el curtido y preparado de cueros, la fabricación de calzado, la producción de artículos de viaje como maletas y bolsos, así como productos de talabartería y guarnicionería. Estas actividades están especialmente concentradas en el sector La Valvanera del barrio Restrepo. La fabricación de prendas de vestir, a excepción de las de piel, ocupa el segundo lugar en la industria local.</w:t>
      </w:r>
    </w:p>
    <w:p w14:paraId="7AE55FE4" w14:textId="77777777" w:rsidR="00241785" w:rsidRDefault="00C72DE6">
      <w:pPr>
        <w:tabs>
          <w:tab w:val="left" w:pos="284"/>
        </w:tabs>
        <w:spacing w:before="240" w:after="240" w:line="276" w:lineRule="auto"/>
        <w:jc w:val="both"/>
        <w:rPr>
          <w:sz w:val="22"/>
          <w:szCs w:val="22"/>
        </w:rPr>
      </w:pPr>
      <w:r>
        <w:rPr>
          <w:sz w:val="22"/>
          <w:szCs w:val="22"/>
        </w:rPr>
        <w:t>La distribución de la actividad económica en la localidad es la siguiente: el 58,3% corresponde al comercio, el 12,5% a la industria, el 27,3% a los servicios, y el 9% restante a otras actividades. En la UPZ Restrepo, destacan especialmente la metalmecánica, la industria del cuero y el comercio.</w:t>
      </w:r>
    </w:p>
    <w:p w14:paraId="4C9CB4A0" w14:textId="77777777" w:rsidR="00241785" w:rsidRDefault="00C72DE6">
      <w:pPr>
        <w:tabs>
          <w:tab w:val="left" w:pos="284"/>
        </w:tabs>
        <w:spacing w:before="240" w:after="240" w:line="276" w:lineRule="auto"/>
        <w:jc w:val="both"/>
        <w:rPr>
          <w:sz w:val="22"/>
          <w:szCs w:val="22"/>
        </w:rPr>
      </w:pPr>
      <w:r>
        <w:rPr>
          <w:sz w:val="22"/>
          <w:szCs w:val="22"/>
        </w:rPr>
        <w:t>El comercio en Antonio Nariño se caracteriza por una notable presencia de la venta de ropa (29,7%), seguido del calzado (22,7%), adornos y joyas (9,9%), material para la construcción y ferretería (5%), papelería (3,9%), repuestos (1%) y otros productos (27,8%). De este comercio, el 60,4% se realiza al detal, el 1,8% al por mayor y el 37,8% en ambas modalidades.</w:t>
      </w:r>
    </w:p>
    <w:p w14:paraId="32CA2F46" w14:textId="77777777" w:rsidR="00241785" w:rsidRDefault="00C72DE6">
      <w:pPr>
        <w:tabs>
          <w:tab w:val="left" w:pos="284"/>
        </w:tabs>
        <w:spacing w:before="240" w:after="240" w:line="276" w:lineRule="auto"/>
        <w:jc w:val="both"/>
        <w:rPr>
          <w:sz w:val="22"/>
          <w:szCs w:val="22"/>
        </w:rPr>
      </w:pPr>
      <w:r>
        <w:rPr>
          <w:sz w:val="22"/>
          <w:szCs w:val="22"/>
        </w:rPr>
        <w:t>En términos de tamaño empresarial, la localidad se caracteriza principalmente por la presencia de microempresas, que representan el 92% del total de las empresas registradas. De las 4.527 empresas establecidas en Antonio Nariño, la mayoría se encuentra cerca de los sectores tradicionales de los barrios Restrepo, Restrepo Occidental, Ciudad Jardín Sur, San Antonio de Padua, Valvanera y Santander Sur.</w:t>
      </w:r>
    </w:p>
    <w:p w14:paraId="11845F68" w14:textId="77777777" w:rsidR="00241785" w:rsidRDefault="00C72DE6">
      <w:pPr>
        <w:tabs>
          <w:tab w:val="left" w:pos="284"/>
        </w:tabs>
        <w:spacing w:before="240" w:after="240" w:line="276" w:lineRule="auto"/>
        <w:jc w:val="both"/>
        <w:rPr>
          <w:sz w:val="22"/>
          <w:szCs w:val="22"/>
        </w:rPr>
      </w:pPr>
      <w:r>
        <w:rPr>
          <w:sz w:val="22"/>
          <w:szCs w:val="22"/>
        </w:rPr>
        <w:t>En el sector industrial, la mayoría de las empresas se concentran en actividades de curtido y preparado de cueros, fabricación de calzado, producción de artículos de viaje, maletas, bolsos de mano y similares, así como productos de talabartería y guarnicionería. El barrio La Valvanera alberga aproximadamente el 23% de estas empresas.</w:t>
      </w:r>
    </w:p>
    <w:p w14:paraId="1E4CDD7E" w14:textId="77777777" w:rsidR="00241785" w:rsidRDefault="00C72DE6">
      <w:pPr>
        <w:tabs>
          <w:tab w:val="left" w:pos="284"/>
        </w:tabs>
        <w:spacing w:before="240" w:after="240" w:line="276" w:lineRule="auto"/>
        <w:jc w:val="both"/>
        <w:rPr>
          <w:sz w:val="22"/>
          <w:szCs w:val="22"/>
        </w:rPr>
      </w:pPr>
      <w:r>
        <w:rPr>
          <w:sz w:val="22"/>
          <w:szCs w:val="22"/>
        </w:rPr>
        <w:t>Según la Cámara de Comercio de Bogotá, los tres principales sectores generadores de empleo en la localidad son la venta de calzado, la venta de ropa y los restaurantes, que en conjunto suman 2.951 trabajadores, lo que representa el 34% del total de los trabajadores informales en la zona. Es importante señalar que la informalidad laboral no es una opción voluntaria, sino una respuesta a la incapacidad del sector formal para absorber la creciente demanda de empleo.</w:t>
      </w:r>
    </w:p>
    <w:p w14:paraId="05D9F3E8" w14:textId="77777777" w:rsidR="00241785" w:rsidRDefault="00C72DE6">
      <w:pPr>
        <w:tabs>
          <w:tab w:val="left" w:pos="284"/>
        </w:tabs>
        <w:spacing w:before="240" w:after="240" w:line="276" w:lineRule="auto"/>
        <w:jc w:val="both"/>
        <w:rPr>
          <w:sz w:val="22"/>
          <w:szCs w:val="22"/>
        </w:rPr>
      </w:pPr>
      <w:r>
        <w:rPr>
          <w:sz w:val="22"/>
          <w:szCs w:val="22"/>
        </w:rPr>
        <w:t>Del total de empresas en Antonio Nariño, el 79% son de personas naturales y el 21% de personas jurídicas. Además, se han identificado 2.880 posibles empresas que podrían integrarse a las cadenas productivas de cuero y calzado, productos alimenticios, textil y confección, construcción e ingeniería civil.</w:t>
      </w:r>
    </w:p>
    <w:p w14:paraId="156EC98D" w14:textId="77777777" w:rsidR="00241785" w:rsidRDefault="00C72DE6">
      <w:pPr>
        <w:tabs>
          <w:tab w:val="left" w:pos="284"/>
        </w:tabs>
        <w:spacing w:before="240" w:after="240" w:line="276" w:lineRule="auto"/>
        <w:jc w:val="both"/>
        <w:rPr>
          <w:sz w:val="22"/>
          <w:szCs w:val="22"/>
        </w:rPr>
      </w:pPr>
      <w:r>
        <w:rPr>
          <w:sz w:val="22"/>
          <w:szCs w:val="22"/>
        </w:rPr>
        <w:t>En síntesis, la institucionalización de la “</w:t>
      </w:r>
      <w:r>
        <w:rPr>
          <w:b/>
          <w:sz w:val="22"/>
          <w:szCs w:val="22"/>
        </w:rPr>
        <w:t>Expo Restrepo”</w:t>
      </w:r>
      <w:r>
        <w:rPr>
          <w:sz w:val="22"/>
          <w:szCs w:val="22"/>
        </w:rPr>
        <w:t xml:space="preserve"> constituye una oportunidad estratégica para fortalecer el desarrollo local del sector del cuero, calzado y marroquinería, un eje productivo tradicional de Bogotá y la región. Este evento puede convertirse en una plataforma clave para fortalecer la competitividad de las empresas locales, impulsar la formalización y visibilizar el talento y la innovación de los empresarios del barrio Restrepo, epicentro histórico de esta industria. Además, fomenta la generación de redes de negocio, la atracción de nuevos mercados y la valorización del patrimonio cultural asociado a esta actividad económica.</w:t>
      </w:r>
    </w:p>
    <w:p w14:paraId="5636D786" w14:textId="77777777" w:rsidR="00241785" w:rsidRDefault="00C72DE6">
      <w:pPr>
        <w:tabs>
          <w:tab w:val="left" w:pos="284"/>
        </w:tabs>
        <w:spacing w:before="240" w:after="240" w:line="276" w:lineRule="auto"/>
        <w:jc w:val="both"/>
        <w:rPr>
          <w:b/>
          <w:sz w:val="22"/>
          <w:szCs w:val="22"/>
        </w:rPr>
      </w:pPr>
      <w:r>
        <w:rPr>
          <w:sz w:val="22"/>
          <w:szCs w:val="22"/>
        </w:rPr>
        <w:t>Como instrumento de desarrollo territorial, la Expo Restrepo puede contribuir a mitigar desafíos estructurales del sector, como la informalidad y la competencia desleal, mientras posiciona a la localidad de Antonio Nariño como un referente nacional e internacional en la producción de cuero y marroquinería. Por tanto, institucionalizar este espacio es un paso crucial para dinamizar la economía local, proteger los empleos generados por este sector y promover la sostenibilidad y resiliencia de un oficio que define la identidad productiva de Bogotá.</w:t>
      </w:r>
    </w:p>
    <w:p w14:paraId="10F71D74" w14:textId="77777777" w:rsidR="00241785" w:rsidRDefault="00241785">
      <w:pPr>
        <w:tabs>
          <w:tab w:val="left" w:pos="284"/>
        </w:tabs>
        <w:spacing w:line="276" w:lineRule="auto"/>
        <w:jc w:val="both"/>
        <w:rPr>
          <w:b/>
          <w:sz w:val="22"/>
          <w:szCs w:val="22"/>
        </w:rPr>
      </w:pPr>
    </w:p>
    <w:p w14:paraId="7331A296" w14:textId="77777777" w:rsidR="00241785" w:rsidRDefault="00C72DE6">
      <w:pPr>
        <w:numPr>
          <w:ilvl w:val="0"/>
          <w:numId w:val="5"/>
        </w:numPr>
        <w:pBdr>
          <w:top w:val="nil"/>
          <w:left w:val="nil"/>
          <w:bottom w:val="nil"/>
          <w:right w:val="nil"/>
          <w:between w:val="nil"/>
        </w:pBdr>
        <w:tabs>
          <w:tab w:val="left" w:pos="284"/>
        </w:tabs>
        <w:spacing w:line="276" w:lineRule="auto"/>
        <w:jc w:val="both"/>
        <w:rPr>
          <w:sz w:val="22"/>
          <w:szCs w:val="22"/>
        </w:rPr>
      </w:pPr>
      <w:r>
        <w:rPr>
          <w:b/>
          <w:sz w:val="22"/>
          <w:szCs w:val="22"/>
        </w:rPr>
        <w:t>CONSTITUCIONALIDAD Y LEGALIDAD</w:t>
      </w:r>
    </w:p>
    <w:p w14:paraId="52373E37" w14:textId="77777777" w:rsidR="00241785" w:rsidRDefault="00C72DE6">
      <w:pPr>
        <w:tabs>
          <w:tab w:val="left" w:pos="284"/>
        </w:tabs>
        <w:spacing w:before="280" w:after="280" w:line="301" w:lineRule="auto"/>
        <w:jc w:val="both"/>
        <w:rPr>
          <w:b/>
          <w:sz w:val="22"/>
          <w:szCs w:val="22"/>
        </w:rPr>
      </w:pPr>
      <w:r>
        <w:rPr>
          <w:b/>
          <w:sz w:val="22"/>
          <w:szCs w:val="22"/>
        </w:rPr>
        <w:t>CONSTITUCIÓN POLÍTICA</w:t>
      </w:r>
    </w:p>
    <w:p w14:paraId="2C5AA936" w14:textId="6A122C13" w:rsidR="00241785" w:rsidRDefault="00C72DE6">
      <w:pPr>
        <w:tabs>
          <w:tab w:val="left" w:pos="284"/>
        </w:tabs>
        <w:spacing w:before="280" w:after="280" w:line="301" w:lineRule="auto"/>
        <w:jc w:val="both"/>
        <w:rPr>
          <w:sz w:val="22"/>
          <w:szCs w:val="22"/>
        </w:rPr>
      </w:pPr>
      <w:r>
        <w:rPr>
          <w:b/>
          <w:sz w:val="22"/>
          <w:szCs w:val="22"/>
        </w:rPr>
        <w:t>ARTÍCULO</w:t>
      </w:r>
      <w:r>
        <w:rPr>
          <w:b/>
          <w:sz w:val="22"/>
          <w:szCs w:val="22"/>
          <w:highlight w:val="white"/>
        </w:rPr>
        <w:t xml:space="preserve"> </w:t>
      </w:r>
      <w:r>
        <w:rPr>
          <w:b/>
          <w:sz w:val="22"/>
          <w:szCs w:val="22"/>
        </w:rPr>
        <w:t>1.</w:t>
      </w:r>
      <w:r>
        <w:rPr>
          <w:b/>
          <w:sz w:val="22"/>
          <w:szCs w:val="22"/>
          <w:highlight w:val="white"/>
        </w:rPr>
        <w:t xml:space="preserve"> </w:t>
      </w:r>
      <w:r>
        <w:rPr>
          <w:sz w:val="22"/>
          <w:szCs w:val="22"/>
        </w:rPr>
        <w:t xml:space="preserve">Colombia es un Estado social de derecho, organizado en forma de República unitaria, descentralizada, </w:t>
      </w:r>
      <w:r>
        <w:rPr>
          <w:sz w:val="22"/>
          <w:szCs w:val="22"/>
          <w:u w:val="single"/>
        </w:rPr>
        <w:t xml:space="preserve">con autonomía de sus entidades territoriales, </w:t>
      </w:r>
      <w:r>
        <w:rPr>
          <w:sz w:val="22"/>
          <w:szCs w:val="22"/>
        </w:rPr>
        <w:t xml:space="preserve">democrática, participativa y pluralista, </w:t>
      </w:r>
      <w:r>
        <w:rPr>
          <w:sz w:val="22"/>
          <w:szCs w:val="22"/>
          <w:u w:val="single"/>
        </w:rPr>
        <w:t>fundada en el respeto de la dignidad humana, en el trabajo y la solidaridad de las personas que la integran y en la prevalencia del interés general</w:t>
      </w:r>
      <w:r>
        <w:rPr>
          <w:sz w:val="22"/>
          <w:szCs w:val="22"/>
        </w:rPr>
        <w:t>.</w:t>
      </w:r>
      <w:r w:rsidR="00EB221C">
        <w:rPr>
          <w:sz w:val="22"/>
          <w:szCs w:val="22"/>
        </w:rPr>
        <w:t xml:space="preserve"> (Subrayado fuera de texto)</w:t>
      </w:r>
    </w:p>
    <w:p w14:paraId="2D1A3F4E" w14:textId="77777777" w:rsidR="00241785" w:rsidRDefault="00C72DE6">
      <w:pPr>
        <w:tabs>
          <w:tab w:val="left" w:pos="284"/>
        </w:tabs>
        <w:spacing w:before="280" w:after="280" w:line="301" w:lineRule="auto"/>
        <w:jc w:val="both"/>
        <w:rPr>
          <w:sz w:val="22"/>
          <w:szCs w:val="22"/>
        </w:rPr>
      </w:pPr>
      <w:r>
        <w:rPr>
          <w:b/>
          <w:sz w:val="22"/>
          <w:szCs w:val="22"/>
        </w:rPr>
        <w:t xml:space="preserve">ARTÍCULO 2o. </w:t>
      </w:r>
      <w:r>
        <w:rPr>
          <w:sz w:val="22"/>
          <w:szCs w:val="22"/>
        </w:rPr>
        <w:t xml:space="preserve">Son fines esenciales del Estado: </w:t>
      </w:r>
      <w:r>
        <w:rPr>
          <w:sz w:val="22"/>
          <w:szCs w:val="22"/>
          <w:u w:val="single"/>
        </w:rPr>
        <w:t>servir a la comunidad, promover la prosperidad general</w:t>
      </w:r>
      <w:r>
        <w:rPr>
          <w:sz w:val="22"/>
          <w:szCs w:val="22"/>
        </w:rPr>
        <w:t xml:space="preserve"> y garantizar la efectividad de los principios, derechos y deberes consagrados en la Constitución; </w:t>
      </w:r>
      <w:r>
        <w:rPr>
          <w:sz w:val="22"/>
          <w:szCs w:val="22"/>
          <w:u w:val="single"/>
        </w:rPr>
        <w:t xml:space="preserve">facilitar la participación de todos en las decisiones que los afectan y en la vida económica, política, administrativa y cultural de la Nación; </w:t>
      </w:r>
      <w:r>
        <w:rPr>
          <w:sz w:val="22"/>
          <w:szCs w:val="22"/>
        </w:rPr>
        <w:t>defender la independencia nacional, mantener la integridad territorial y asegurar la convivencia pacífica y la vigencia de un orden justo.</w:t>
      </w:r>
    </w:p>
    <w:p w14:paraId="62FB6023" w14:textId="77777777" w:rsidR="00241785" w:rsidRDefault="00C72DE6">
      <w:pPr>
        <w:tabs>
          <w:tab w:val="left" w:pos="284"/>
        </w:tabs>
        <w:spacing w:before="280" w:after="280" w:line="301" w:lineRule="auto"/>
        <w:jc w:val="both"/>
        <w:rPr>
          <w:sz w:val="22"/>
          <w:szCs w:val="22"/>
          <w:highlight w:val="white"/>
        </w:rPr>
      </w:pPr>
      <w:r>
        <w:rPr>
          <w:b/>
          <w:sz w:val="22"/>
          <w:szCs w:val="22"/>
        </w:rPr>
        <w:t xml:space="preserve">ARTÍCULO  25. </w:t>
      </w:r>
      <w:r>
        <w:rPr>
          <w:sz w:val="22"/>
          <w:szCs w:val="22"/>
          <w:highlight w:val="white"/>
          <w:u w:val="single"/>
        </w:rPr>
        <w:t>El trabajo es un derecho y una obligación social y goza, en todas sus modalidades, de la especial protección del Estado</w:t>
      </w:r>
      <w:r>
        <w:rPr>
          <w:sz w:val="22"/>
          <w:szCs w:val="22"/>
          <w:highlight w:val="white"/>
        </w:rPr>
        <w:t>. Toda persona tiene derecho a un trabajo en condiciones dignas y justas.</w:t>
      </w:r>
    </w:p>
    <w:p w14:paraId="60A3FF85" w14:textId="77777777" w:rsidR="00241785" w:rsidRDefault="00C72DE6">
      <w:pPr>
        <w:tabs>
          <w:tab w:val="left" w:pos="284"/>
        </w:tabs>
        <w:spacing w:after="160" w:line="301" w:lineRule="auto"/>
        <w:jc w:val="both"/>
        <w:rPr>
          <w:sz w:val="22"/>
          <w:szCs w:val="22"/>
          <w:highlight w:val="white"/>
        </w:rPr>
      </w:pPr>
      <w:r>
        <w:rPr>
          <w:b/>
          <w:sz w:val="22"/>
          <w:szCs w:val="22"/>
          <w:highlight w:val="white"/>
        </w:rPr>
        <w:t xml:space="preserve">ARTÍCULO 333. </w:t>
      </w:r>
      <w:r>
        <w:rPr>
          <w:sz w:val="22"/>
          <w:szCs w:val="22"/>
          <w:highlight w:val="white"/>
          <w:u w:val="single"/>
        </w:rPr>
        <w:t>La actividad económica y la iniciativa privada son libres, dentro de los límites del bien común</w:t>
      </w:r>
      <w:r>
        <w:rPr>
          <w:sz w:val="22"/>
          <w:szCs w:val="22"/>
          <w:highlight w:val="white"/>
        </w:rPr>
        <w:t>. Para su ejercicio, nadie podrá exigir permisos previos ni requisitos, sin autorización de la ley.</w:t>
      </w:r>
    </w:p>
    <w:p w14:paraId="0E8E853C" w14:textId="77777777" w:rsidR="00241785" w:rsidRDefault="00C72DE6">
      <w:pPr>
        <w:tabs>
          <w:tab w:val="left" w:pos="284"/>
        </w:tabs>
        <w:spacing w:after="160" w:line="301" w:lineRule="auto"/>
        <w:jc w:val="both"/>
        <w:rPr>
          <w:sz w:val="22"/>
          <w:szCs w:val="22"/>
          <w:highlight w:val="white"/>
        </w:rPr>
      </w:pPr>
      <w:r>
        <w:rPr>
          <w:sz w:val="22"/>
          <w:szCs w:val="22"/>
          <w:highlight w:val="white"/>
        </w:rPr>
        <w:t>La libre competencia económica es un derecho de todos que supone responsabilidades.</w:t>
      </w:r>
    </w:p>
    <w:p w14:paraId="0C9A0233" w14:textId="77777777" w:rsidR="00241785" w:rsidRDefault="00C72DE6">
      <w:pPr>
        <w:tabs>
          <w:tab w:val="left" w:pos="284"/>
        </w:tabs>
        <w:spacing w:after="160" w:line="301" w:lineRule="auto"/>
        <w:jc w:val="both"/>
        <w:rPr>
          <w:sz w:val="22"/>
          <w:szCs w:val="22"/>
          <w:highlight w:val="white"/>
          <w:u w:val="single"/>
        </w:rPr>
      </w:pPr>
      <w:r>
        <w:rPr>
          <w:sz w:val="22"/>
          <w:szCs w:val="22"/>
          <w:highlight w:val="white"/>
          <w:u w:val="single"/>
        </w:rPr>
        <w:t>La empresa, como base del desarrollo, tiene una función social que implica obligaciones. El Estado fortalecerá las organizaciones solidarias y estimulará el desarrollo empresarial.</w:t>
      </w:r>
    </w:p>
    <w:p w14:paraId="0B53293C" w14:textId="77777777" w:rsidR="00241785" w:rsidRDefault="00C72DE6">
      <w:pPr>
        <w:tabs>
          <w:tab w:val="left" w:pos="284"/>
        </w:tabs>
        <w:spacing w:after="160" w:line="301" w:lineRule="auto"/>
        <w:jc w:val="both"/>
        <w:rPr>
          <w:sz w:val="22"/>
          <w:szCs w:val="22"/>
          <w:highlight w:val="white"/>
        </w:rPr>
      </w:pPr>
      <w:r>
        <w:rPr>
          <w:sz w:val="22"/>
          <w:szCs w:val="22"/>
          <w:highlight w:val="white"/>
        </w:rPr>
        <w:t>El Estado, por mandato de la ley, impedirá que se obstruya o se restrinja la libertad económica y evitará o controlará cualquier abuso que personas o empresas hagan de su posición dominante en el mercado nacional.</w:t>
      </w:r>
    </w:p>
    <w:p w14:paraId="106199F3" w14:textId="77777777" w:rsidR="00241785" w:rsidRDefault="00C72DE6">
      <w:pPr>
        <w:tabs>
          <w:tab w:val="left" w:pos="284"/>
        </w:tabs>
        <w:spacing w:after="160" w:line="301" w:lineRule="auto"/>
        <w:jc w:val="both"/>
        <w:rPr>
          <w:sz w:val="22"/>
          <w:szCs w:val="22"/>
          <w:highlight w:val="white"/>
        </w:rPr>
      </w:pPr>
      <w:r>
        <w:rPr>
          <w:sz w:val="22"/>
          <w:szCs w:val="22"/>
          <w:highlight w:val="white"/>
        </w:rPr>
        <w:t>La ley delimitará el alcance de la libertad económica cuando así lo exijan el interés social, el ambiente y el patrimonio cultural de la Nación.</w:t>
      </w:r>
    </w:p>
    <w:p w14:paraId="0B5BA6C5" w14:textId="77777777" w:rsidR="00241785" w:rsidRDefault="00C72DE6">
      <w:pPr>
        <w:tabs>
          <w:tab w:val="left" w:pos="284"/>
        </w:tabs>
        <w:spacing w:before="280" w:after="280" w:line="301" w:lineRule="auto"/>
        <w:jc w:val="both"/>
        <w:rPr>
          <w:b/>
          <w:sz w:val="22"/>
          <w:szCs w:val="22"/>
          <w:highlight w:val="white"/>
        </w:rPr>
      </w:pPr>
      <w:r>
        <w:rPr>
          <w:b/>
          <w:sz w:val="22"/>
          <w:szCs w:val="22"/>
          <w:highlight w:val="white"/>
        </w:rPr>
        <w:t>LEYES</w:t>
      </w:r>
    </w:p>
    <w:p w14:paraId="56197C7A" w14:textId="77777777" w:rsidR="00241785" w:rsidRDefault="00C72DE6">
      <w:pPr>
        <w:tabs>
          <w:tab w:val="left" w:pos="284"/>
        </w:tabs>
        <w:spacing w:before="280" w:after="280" w:line="301" w:lineRule="auto"/>
        <w:jc w:val="both"/>
        <w:rPr>
          <w:i/>
          <w:sz w:val="22"/>
          <w:szCs w:val="22"/>
          <w:highlight w:val="white"/>
        </w:rPr>
      </w:pPr>
      <w:r>
        <w:rPr>
          <w:b/>
          <w:sz w:val="22"/>
          <w:szCs w:val="22"/>
          <w:highlight w:val="white"/>
        </w:rPr>
        <w:t>LEY 590 DE 2000:</w:t>
      </w:r>
      <w:r>
        <w:rPr>
          <w:sz w:val="22"/>
          <w:szCs w:val="22"/>
          <w:highlight w:val="white"/>
        </w:rPr>
        <w:t xml:space="preserve"> “</w:t>
      </w:r>
      <w:r>
        <w:rPr>
          <w:i/>
          <w:sz w:val="22"/>
          <w:szCs w:val="22"/>
          <w:highlight w:val="white"/>
        </w:rPr>
        <w:t>Por la cual se dictan disposiciones para promover el desarrollo de las micro, pequeñas y medianas empresa”</w:t>
      </w:r>
    </w:p>
    <w:p w14:paraId="2AC934E8" w14:textId="77777777" w:rsidR="00241785" w:rsidRDefault="00C72DE6">
      <w:pPr>
        <w:tabs>
          <w:tab w:val="left" w:pos="284"/>
        </w:tabs>
        <w:spacing w:before="280" w:after="280" w:line="301" w:lineRule="auto"/>
        <w:jc w:val="both"/>
        <w:rPr>
          <w:i/>
          <w:sz w:val="22"/>
          <w:szCs w:val="22"/>
          <w:highlight w:val="white"/>
        </w:rPr>
      </w:pPr>
      <w:r>
        <w:rPr>
          <w:i/>
          <w:sz w:val="22"/>
          <w:szCs w:val="22"/>
          <w:highlight w:val="white"/>
        </w:rPr>
        <w:tab/>
        <w:t>Artículo 1°. Objeto de la ley. La presente ley tiene por objeto:</w:t>
      </w:r>
    </w:p>
    <w:p w14:paraId="03FF60EE" w14:textId="77777777" w:rsidR="00241785" w:rsidRDefault="00C72DE6">
      <w:pPr>
        <w:numPr>
          <w:ilvl w:val="0"/>
          <w:numId w:val="2"/>
        </w:numPr>
        <w:tabs>
          <w:tab w:val="left" w:pos="284"/>
        </w:tabs>
        <w:spacing w:before="280" w:line="301" w:lineRule="auto"/>
        <w:jc w:val="both"/>
        <w:rPr>
          <w:i/>
          <w:sz w:val="22"/>
          <w:szCs w:val="22"/>
          <w:highlight w:val="white"/>
        </w:rPr>
      </w:pPr>
      <w:r>
        <w:rPr>
          <w:i/>
          <w:sz w:val="22"/>
          <w:szCs w:val="22"/>
          <w:highlight w:val="white"/>
        </w:rPr>
        <w:t xml:space="preserve">Promover el desarrollo integral de las micro, pequeñas y medianas empresas en consideración a sus aptitudes para la generación de empleo, el desarrollo regional, la integración entre sectores económicos, el aprovechamiento productivo de pequeños </w:t>
      </w:r>
      <w:r>
        <w:rPr>
          <w:i/>
          <w:sz w:val="22"/>
          <w:szCs w:val="22"/>
          <w:highlight w:val="white"/>
        </w:rPr>
        <w:tab/>
        <w:t>capitales y teniendo en cuenta la capacidad empresarial de los colombianos;</w:t>
      </w:r>
    </w:p>
    <w:p w14:paraId="77364A39" w14:textId="77777777" w:rsidR="00241785" w:rsidRDefault="00955D29">
      <w:pPr>
        <w:numPr>
          <w:ilvl w:val="0"/>
          <w:numId w:val="2"/>
        </w:numPr>
        <w:tabs>
          <w:tab w:val="left" w:pos="284"/>
        </w:tabs>
        <w:spacing w:line="276" w:lineRule="auto"/>
        <w:jc w:val="both"/>
        <w:rPr>
          <w:i/>
          <w:sz w:val="22"/>
          <w:szCs w:val="22"/>
          <w:highlight w:val="white"/>
        </w:rPr>
      </w:pPr>
      <w:hyperlink r:id="rId12" w:anchor="1">
        <w:r w:rsidR="00C72DE6">
          <w:rPr>
            <w:i/>
            <w:sz w:val="22"/>
            <w:szCs w:val="22"/>
            <w:highlight w:val="white"/>
          </w:rPr>
          <w:t>Modificado por el art. 1, Ley 905 de 2004</w:t>
        </w:r>
      </w:hyperlink>
      <w:r w:rsidR="00C72DE6">
        <w:rPr>
          <w:i/>
          <w:sz w:val="22"/>
          <w:szCs w:val="22"/>
          <w:highlight w:val="white"/>
        </w:rPr>
        <w:t xml:space="preserve">, </w:t>
      </w:r>
      <w:hyperlink r:id="rId13" w:anchor="74">
        <w:r w:rsidR="00C72DE6">
          <w:rPr>
            <w:i/>
            <w:sz w:val="22"/>
            <w:szCs w:val="22"/>
            <w:highlight w:val="white"/>
          </w:rPr>
          <w:t>Modificado por el art. 74, Ley 1151 de 2007</w:t>
        </w:r>
      </w:hyperlink>
      <w:r w:rsidR="00C72DE6">
        <w:rPr>
          <w:i/>
          <w:sz w:val="22"/>
          <w:szCs w:val="22"/>
          <w:highlight w:val="white"/>
        </w:rPr>
        <w:t xml:space="preserve">.  </w:t>
      </w:r>
      <w:r w:rsidR="00C72DE6">
        <w:rPr>
          <w:i/>
          <w:sz w:val="22"/>
          <w:szCs w:val="22"/>
          <w:highlight w:val="white"/>
        </w:rPr>
        <w:tab/>
        <w:t xml:space="preserve">Estimular la formación de mercados altamente competitivos mediante el fomento a la </w:t>
      </w:r>
      <w:r w:rsidR="00C72DE6">
        <w:rPr>
          <w:i/>
          <w:sz w:val="22"/>
          <w:szCs w:val="22"/>
          <w:highlight w:val="white"/>
        </w:rPr>
        <w:tab/>
      </w:r>
      <w:r w:rsidR="00C72DE6">
        <w:rPr>
          <w:i/>
          <w:sz w:val="22"/>
          <w:szCs w:val="22"/>
          <w:highlight w:val="white"/>
        </w:rPr>
        <w:tab/>
        <w:t>permanente creación y funcionamiento de la mayor cantidad de micro, pequeñas y medianas empresas, Mipymes;</w:t>
      </w:r>
    </w:p>
    <w:p w14:paraId="78CA5CA6" w14:textId="77777777" w:rsidR="00241785" w:rsidRDefault="00C72DE6">
      <w:pPr>
        <w:numPr>
          <w:ilvl w:val="0"/>
          <w:numId w:val="2"/>
        </w:numPr>
        <w:tabs>
          <w:tab w:val="left" w:pos="284"/>
        </w:tabs>
        <w:spacing w:line="276" w:lineRule="auto"/>
        <w:jc w:val="both"/>
        <w:rPr>
          <w:i/>
          <w:sz w:val="22"/>
          <w:szCs w:val="22"/>
          <w:highlight w:val="white"/>
        </w:rPr>
      </w:pPr>
      <w:r>
        <w:rPr>
          <w:i/>
          <w:sz w:val="22"/>
          <w:szCs w:val="22"/>
          <w:highlight w:val="white"/>
        </w:rPr>
        <w:t>Inducir el establecimiento de mejores condiciones de entorno institucional para la creación y operación de micro, pequeñas y medianas empresas;</w:t>
      </w:r>
    </w:p>
    <w:p w14:paraId="06513462" w14:textId="77777777" w:rsidR="00241785" w:rsidRDefault="00C72DE6">
      <w:pPr>
        <w:numPr>
          <w:ilvl w:val="0"/>
          <w:numId w:val="2"/>
        </w:numPr>
        <w:tabs>
          <w:tab w:val="left" w:pos="284"/>
        </w:tabs>
        <w:spacing w:line="276" w:lineRule="auto"/>
        <w:jc w:val="both"/>
        <w:rPr>
          <w:i/>
          <w:sz w:val="22"/>
          <w:szCs w:val="22"/>
          <w:highlight w:val="white"/>
        </w:rPr>
      </w:pPr>
      <w:r>
        <w:rPr>
          <w:i/>
          <w:sz w:val="22"/>
          <w:szCs w:val="22"/>
          <w:highlight w:val="white"/>
        </w:rPr>
        <w:t xml:space="preserve">Promover una más favorable dotación de factores para las micro, pequeñas y medianas </w:t>
      </w:r>
      <w:r>
        <w:rPr>
          <w:i/>
          <w:sz w:val="22"/>
          <w:szCs w:val="22"/>
          <w:highlight w:val="white"/>
        </w:rPr>
        <w:tab/>
        <w:t xml:space="preserve">empresas, facilitando el acceso a mercados de bienes y servicios, tanto para la adquisición </w:t>
      </w:r>
      <w:r>
        <w:rPr>
          <w:i/>
          <w:sz w:val="22"/>
          <w:szCs w:val="22"/>
          <w:highlight w:val="white"/>
        </w:rPr>
        <w:tab/>
        <w:t xml:space="preserve">de materias primas, insumos, bienes de capital y equipos, como para la realización de sus </w:t>
      </w:r>
      <w:r>
        <w:rPr>
          <w:i/>
          <w:sz w:val="22"/>
          <w:szCs w:val="22"/>
          <w:highlight w:val="white"/>
        </w:rPr>
        <w:tab/>
        <w:t>productos y servicios a nivel nacional e internacional, la formación de capital humano, la asistencia para el desarrollo tecnológico y el acceso a los mercados financieros institucionales;</w:t>
      </w:r>
    </w:p>
    <w:p w14:paraId="7453529D" w14:textId="77777777" w:rsidR="00241785" w:rsidRDefault="00955D29">
      <w:pPr>
        <w:numPr>
          <w:ilvl w:val="0"/>
          <w:numId w:val="2"/>
        </w:numPr>
        <w:tabs>
          <w:tab w:val="left" w:pos="284"/>
        </w:tabs>
        <w:spacing w:line="276" w:lineRule="auto"/>
        <w:jc w:val="both"/>
        <w:rPr>
          <w:i/>
          <w:sz w:val="22"/>
          <w:szCs w:val="22"/>
          <w:highlight w:val="white"/>
        </w:rPr>
      </w:pPr>
      <w:hyperlink r:id="rId14" w:anchor="74">
        <w:r w:rsidR="00C72DE6">
          <w:rPr>
            <w:i/>
            <w:sz w:val="22"/>
            <w:szCs w:val="22"/>
            <w:highlight w:val="white"/>
          </w:rPr>
          <w:t>Modificado por el art. 74, Ley 1151 de 2007</w:t>
        </w:r>
      </w:hyperlink>
      <w:r w:rsidR="00C72DE6">
        <w:rPr>
          <w:i/>
          <w:sz w:val="22"/>
          <w:szCs w:val="22"/>
          <w:highlight w:val="white"/>
        </w:rPr>
        <w:t>. Promover la permanente formulación, ejecución y evaluación de políticas públicas favorables al desarrollo y a la competitividad de las micro, pequeñas y medianas empresas;</w:t>
      </w:r>
    </w:p>
    <w:p w14:paraId="3B954806" w14:textId="77777777" w:rsidR="00241785" w:rsidRDefault="00C72DE6">
      <w:pPr>
        <w:numPr>
          <w:ilvl w:val="0"/>
          <w:numId w:val="2"/>
        </w:numPr>
        <w:tabs>
          <w:tab w:val="left" w:pos="284"/>
        </w:tabs>
        <w:spacing w:line="276" w:lineRule="auto"/>
        <w:jc w:val="both"/>
        <w:rPr>
          <w:i/>
          <w:sz w:val="22"/>
          <w:szCs w:val="22"/>
          <w:highlight w:val="white"/>
        </w:rPr>
      </w:pPr>
      <w:r>
        <w:rPr>
          <w:i/>
          <w:sz w:val="22"/>
          <w:szCs w:val="22"/>
          <w:highlight w:val="white"/>
        </w:rPr>
        <w:t>Señalar criterios que orienten la acción del Estado y fortalezcan la coordinación entre sus organismos; así como entre estos y el sector privado, en la promoción del desarrollo de las micro, pequeñas y medianas empresas;</w:t>
      </w:r>
    </w:p>
    <w:p w14:paraId="68F8D2BD" w14:textId="77777777" w:rsidR="00241785" w:rsidRDefault="00C72DE6">
      <w:pPr>
        <w:numPr>
          <w:ilvl w:val="0"/>
          <w:numId w:val="2"/>
        </w:numPr>
        <w:tabs>
          <w:tab w:val="left" w:pos="284"/>
        </w:tabs>
        <w:spacing w:line="276" w:lineRule="auto"/>
        <w:jc w:val="both"/>
        <w:rPr>
          <w:i/>
          <w:sz w:val="22"/>
          <w:szCs w:val="22"/>
          <w:highlight w:val="white"/>
        </w:rPr>
      </w:pPr>
      <w:r>
        <w:rPr>
          <w:i/>
          <w:sz w:val="22"/>
          <w:szCs w:val="22"/>
          <w:highlight w:val="white"/>
        </w:rPr>
        <w:t>Coadyuvar en el desarrollo de las organizaciones empresariales, en la generación de esquemas de asociatividad empresarial y en alianzas estratégicas entre las entidades públicas y privadas de apoyo a las micro, pequeñas y medianas empresas;</w:t>
      </w:r>
    </w:p>
    <w:p w14:paraId="2CB97E38" w14:textId="092F638B" w:rsidR="00241785" w:rsidRDefault="00C72DE6">
      <w:pPr>
        <w:numPr>
          <w:ilvl w:val="0"/>
          <w:numId w:val="2"/>
        </w:numPr>
        <w:tabs>
          <w:tab w:val="left" w:pos="284"/>
        </w:tabs>
        <w:spacing w:line="276" w:lineRule="auto"/>
        <w:jc w:val="both"/>
        <w:rPr>
          <w:i/>
          <w:sz w:val="22"/>
          <w:szCs w:val="22"/>
          <w:highlight w:val="white"/>
        </w:rPr>
      </w:pPr>
      <w:r>
        <w:rPr>
          <w:i/>
          <w:sz w:val="22"/>
          <w:szCs w:val="22"/>
          <w:highlight w:val="white"/>
        </w:rPr>
        <w:t xml:space="preserve">Apoyar a los micro, pequeños y medianos productores asentados en áreas de economía </w:t>
      </w:r>
      <w:r w:rsidR="00322D7C">
        <w:rPr>
          <w:i/>
          <w:sz w:val="22"/>
          <w:szCs w:val="22"/>
          <w:highlight w:val="white"/>
        </w:rPr>
        <w:t>campesina, estimulando</w:t>
      </w:r>
      <w:r>
        <w:rPr>
          <w:i/>
          <w:sz w:val="22"/>
          <w:szCs w:val="22"/>
          <w:highlight w:val="white"/>
        </w:rPr>
        <w:t xml:space="preserve"> la creación y fortalecimiento de Mipymes rurales,</w:t>
      </w:r>
    </w:p>
    <w:p w14:paraId="632BF0D9" w14:textId="77777777" w:rsidR="00241785" w:rsidRDefault="00C72DE6">
      <w:pPr>
        <w:numPr>
          <w:ilvl w:val="0"/>
          <w:numId w:val="2"/>
        </w:numPr>
        <w:tabs>
          <w:tab w:val="left" w:pos="284"/>
        </w:tabs>
        <w:spacing w:line="276" w:lineRule="auto"/>
        <w:jc w:val="both"/>
        <w:rPr>
          <w:i/>
          <w:sz w:val="22"/>
          <w:szCs w:val="22"/>
          <w:highlight w:val="white"/>
        </w:rPr>
      </w:pPr>
      <w:r>
        <w:rPr>
          <w:i/>
          <w:sz w:val="22"/>
          <w:szCs w:val="22"/>
          <w:highlight w:val="white"/>
        </w:rPr>
        <w:t>Asegurar la eficacia del derecho a la libre y leal competencia para las Mipymes;</w:t>
      </w:r>
    </w:p>
    <w:p w14:paraId="27C3B21D" w14:textId="77777777" w:rsidR="00241785" w:rsidRDefault="00C72DE6">
      <w:pPr>
        <w:numPr>
          <w:ilvl w:val="0"/>
          <w:numId w:val="2"/>
        </w:numPr>
        <w:tabs>
          <w:tab w:val="left" w:pos="284"/>
        </w:tabs>
        <w:spacing w:after="280" w:line="276" w:lineRule="auto"/>
        <w:jc w:val="both"/>
        <w:rPr>
          <w:i/>
          <w:sz w:val="22"/>
          <w:szCs w:val="22"/>
          <w:highlight w:val="white"/>
        </w:rPr>
      </w:pPr>
      <w:r>
        <w:rPr>
          <w:i/>
          <w:sz w:val="22"/>
          <w:szCs w:val="22"/>
          <w:highlight w:val="white"/>
        </w:rPr>
        <w:t xml:space="preserve">Crear las bases de un sistema de incentivos a la capitalización de las micro, pequeñas y </w:t>
      </w:r>
      <w:r>
        <w:rPr>
          <w:i/>
          <w:sz w:val="22"/>
          <w:szCs w:val="22"/>
          <w:highlight w:val="white"/>
        </w:rPr>
        <w:tab/>
        <w:t>medianas empresas.</w:t>
      </w:r>
    </w:p>
    <w:p w14:paraId="1994D0FD" w14:textId="77777777" w:rsidR="00241785" w:rsidRDefault="00C72DE6">
      <w:pPr>
        <w:tabs>
          <w:tab w:val="left" w:pos="284"/>
        </w:tabs>
        <w:spacing w:after="120" w:line="276" w:lineRule="auto"/>
        <w:jc w:val="both"/>
        <w:rPr>
          <w:i/>
          <w:sz w:val="22"/>
          <w:szCs w:val="22"/>
          <w:highlight w:val="white"/>
        </w:rPr>
      </w:pPr>
      <w:r>
        <w:rPr>
          <w:b/>
          <w:i/>
          <w:sz w:val="22"/>
          <w:szCs w:val="22"/>
          <w:highlight w:val="white"/>
        </w:rPr>
        <w:t>LEY 1014 DE 2006 “</w:t>
      </w:r>
      <w:r>
        <w:rPr>
          <w:i/>
          <w:sz w:val="22"/>
          <w:szCs w:val="22"/>
          <w:highlight w:val="white"/>
        </w:rPr>
        <w:t xml:space="preserve">De fomento a la cultura del emprendimiento”. </w:t>
      </w:r>
    </w:p>
    <w:p w14:paraId="7D223433" w14:textId="77777777" w:rsidR="00241785" w:rsidRDefault="00C72DE6">
      <w:pPr>
        <w:tabs>
          <w:tab w:val="left" w:pos="284"/>
        </w:tabs>
        <w:spacing w:after="120" w:line="276" w:lineRule="auto"/>
        <w:jc w:val="both"/>
        <w:rPr>
          <w:i/>
          <w:sz w:val="22"/>
          <w:szCs w:val="22"/>
          <w:highlight w:val="white"/>
        </w:rPr>
      </w:pPr>
      <w:r>
        <w:rPr>
          <w:b/>
          <w:i/>
          <w:sz w:val="22"/>
          <w:szCs w:val="22"/>
          <w:highlight w:val="white"/>
        </w:rPr>
        <w:tab/>
        <w:t>Artículo 2°. Objeto.</w:t>
      </w:r>
      <w:r>
        <w:rPr>
          <w:i/>
          <w:sz w:val="22"/>
          <w:szCs w:val="22"/>
          <w:highlight w:val="white"/>
        </w:rPr>
        <w:t xml:space="preserve"> La presente ley tiene por objeto:</w:t>
      </w:r>
    </w:p>
    <w:p w14:paraId="243994DF" w14:textId="77777777" w:rsidR="00241785" w:rsidRDefault="00C72DE6">
      <w:pPr>
        <w:tabs>
          <w:tab w:val="left" w:pos="284"/>
        </w:tabs>
        <w:spacing w:after="120" w:line="276" w:lineRule="auto"/>
        <w:jc w:val="both"/>
        <w:rPr>
          <w:i/>
          <w:sz w:val="22"/>
          <w:szCs w:val="22"/>
          <w:highlight w:val="white"/>
        </w:rPr>
      </w:pPr>
      <w:r>
        <w:rPr>
          <w:i/>
          <w:sz w:val="22"/>
          <w:szCs w:val="22"/>
          <w:highlight w:val="white"/>
        </w:rPr>
        <w:tab/>
        <w:t xml:space="preserve">a) Promover el espíritu emprendedor en todos los estamentos educativos del país, en </w:t>
      </w:r>
      <w:r>
        <w:rPr>
          <w:i/>
          <w:sz w:val="22"/>
          <w:szCs w:val="22"/>
          <w:highlight w:val="white"/>
        </w:rPr>
        <w:tab/>
        <w:t xml:space="preserve">el cual se propenda y trabaje conjuntamente sobre los principios y valores que </w:t>
      </w:r>
      <w:r>
        <w:rPr>
          <w:i/>
          <w:sz w:val="22"/>
          <w:szCs w:val="22"/>
          <w:highlight w:val="white"/>
        </w:rPr>
        <w:tab/>
      </w:r>
      <w:r>
        <w:rPr>
          <w:i/>
          <w:sz w:val="22"/>
          <w:szCs w:val="22"/>
          <w:highlight w:val="white"/>
        </w:rPr>
        <w:tab/>
        <w:t>establece la Constitución y los establecidos en la presente ley;</w:t>
      </w:r>
    </w:p>
    <w:p w14:paraId="5010EABB" w14:textId="77777777" w:rsidR="00241785" w:rsidRDefault="00C72DE6">
      <w:pPr>
        <w:tabs>
          <w:tab w:val="left" w:pos="284"/>
        </w:tabs>
        <w:spacing w:before="280" w:after="280" w:line="276" w:lineRule="auto"/>
        <w:ind w:left="720"/>
        <w:jc w:val="both"/>
        <w:rPr>
          <w:i/>
          <w:sz w:val="22"/>
          <w:szCs w:val="22"/>
          <w:highlight w:val="white"/>
        </w:rPr>
      </w:pPr>
      <w:r>
        <w:rPr>
          <w:i/>
          <w:sz w:val="22"/>
          <w:szCs w:val="22"/>
          <w:highlight w:val="white"/>
        </w:rPr>
        <w:t>b) Disponer de un conjunto de principios normativos que sienten las bases para una política de Estado y un marco jurídico e institucional, que promuevan el emprendimiento y la creación de empresas; (...)</w:t>
      </w:r>
    </w:p>
    <w:p w14:paraId="3409D8DB" w14:textId="77777777" w:rsidR="00241785" w:rsidRDefault="00C72DE6">
      <w:pPr>
        <w:tabs>
          <w:tab w:val="left" w:pos="284"/>
        </w:tabs>
        <w:spacing w:before="280" w:after="280" w:line="276" w:lineRule="auto"/>
        <w:ind w:left="720"/>
        <w:jc w:val="both"/>
        <w:rPr>
          <w:i/>
          <w:sz w:val="22"/>
          <w:szCs w:val="22"/>
          <w:highlight w:val="white"/>
        </w:rPr>
      </w:pPr>
      <w:r>
        <w:rPr>
          <w:i/>
          <w:sz w:val="22"/>
          <w:szCs w:val="22"/>
          <w:highlight w:val="white"/>
        </w:rPr>
        <w:t>d) Establecer mecanismos para el desarrollo de la cultura empresarial y el emprendimiento a través del fortalecimiento de un sistema público y la creación de una red de instrumentos de fomento productivo.</w:t>
      </w:r>
    </w:p>
    <w:p w14:paraId="78D129FD" w14:textId="77777777" w:rsidR="00241785" w:rsidRDefault="00C72DE6">
      <w:pPr>
        <w:tabs>
          <w:tab w:val="left" w:pos="284"/>
        </w:tabs>
        <w:spacing w:after="160" w:line="276" w:lineRule="auto"/>
        <w:jc w:val="both"/>
        <w:rPr>
          <w:i/>
          <w:sz w:val="22"/>
          <w:szCs w:val="22"/>
          <w:highlight w:val="white"/>
        </w:rPr>
      </w:pPr>
      <w:r>
        <w:rPr>
          <w:b/>
          <w:sz w:val="22"/>
          <w:szCs w:val="22"/>
          <w:highlight w:val="white"/>
        </w:rPr>
        <w:t xml:space="preserve">LEY 2069 DE 2020: </w:t>
      </w:r>
      <w:r>
        <w:rPr>
          <w:b/>
          <w:i/>
          <w:sz w:val="22"/>
          <w:szCs w:val="22"/>
          <w:highlight w:val="white"/>
        </w:rPr>
        <w:t>“</w:t>
      </w:r>
      <w:r>
        <w:rPr>
          <w:i/>
          <w:sz w:val="22"/>
          <w:szCs w:val="22"/>
          <w:highlight w:val="white"/>
        </w:rPr>
        <w:t xml:space="preserve">Por medio de la cual se impulsa el emprendimiento en </w:t>
      </w:r>
      <w:r>
        <w:rPr>
          <w:i/>
          <w:sz w:val="22"/>
          <w:szCs w:val="22"/>
          <w:highlight w:val="white"/>
        </w:rPr>
        <w:tab/>
      </w:r>
      <w:r>
        <w:rPr>
          <w:i/>
          <w:sz w:val="22"/>
          <w:szCs w:val="22"/>
          <w:highlight w:val="white"/>
        </w:rPr>
        <w:tab/>
        <w:t>Colombia.”</w:t>
      </w:r>
    </w:p>
    <w:p w14:paraId="0B44C659" w14:textId="77777777" w:rsidR="00241785" w:rsidRDefault="00C72DE6">
      <w:pPr>
        <w:tabs>
          <w:tab w:val="left" w:pos="284"/>
        </w:tabs>
        <w:spacing w:after="160" w:line="276" w:lineRule="auto"/>
        <w:ind w:left="720"/>
        <w:jc w:val="both"/>
        <w:rPr>
          <w:i/>
          <w:sz w:val="22"/>
          <w:szCs w:val="22"/>
          <w:highlight w:val="white"/>
        </w:rPr>
      </w:pPr>
      <w:r>
        <w:rPr>
          <w:b/>
          <w:i/>
          <w:sz w:val="22"/>
          <w:szCs w:val="22"/>
          <w:highlight w:val="white"/>
        </w:rPr>
        <w:t>Artículo 1°. Objeto.</w:t>
      </w:r>
      <w:r>
        <w:rPr>
          <w:i/>
          <w:sz w:val="22"/>
          <w:szCs w:val="22"/>
          <w:highlight w:val="white"/>
        </w:rPr>
        <w:t xml:space="preserve"> La presente Ley tiene por objeto </w:t>
      </w:r>
      <w:r>
        <w:rPr>
          <w:i/>
          <w:sz w:val="22"/>
          <w:szCs w:val="22"/>
          <w:highlight w:val="white"/>
          <w:u w:val="single"/>
        </w:rPr>
        <w:t xml:space="preserve">establecer un marco regulatorio </w:t>
      </w:r>
      <w:r>
        <w:rPr>
          <w:i/>
          <w:sz w:val="22"/>
          <w:szCs w:val="22"/>
          <w:highlight w:val="white"/>
        </w:rPr>
        <w:tab/>
      </w:r>
      <w:r>
        <w:rPr>
          <w:i/>
          <w:sz w:val="22"/>
          <w:szCs w:val="22"/>
          <w:highlight w:val="white"/>
          <w:u w:val="single"/>
        </w:rPr>
        <w:t xml:space="preserve">que propicie el emprendimiento y el crecimiento, consolidación y sostenibilidad de las </w:t>
      </w:r>
      <w:r>
        <w:rPr>
          <w:i/>
          <w:sz w:val="22"/>
          <w:szCs w:val="22"/>
          <w:highlight w:val="white"/>
        </w:rPr>
        <w:tab/>
      </w:r>
      <w:r>
        <w:rPr>
          <w:i/>
          <w:sz w:val="22"/>
          <w:szCs w:val="22"/>
          <w:highlight w:val="white"/>
          <w:u w:val="single"/>
        </w:rPr>
        <w:t>empresas</w:t>
      </w:r>
      <w:r>
        <w:rPr>
          <w:i/>
          <w:sz w:val="22"/>
          <w:szCs w:val="22"/>
          <w:highlight w:val="white"/>
        </w:rPr>
        <w:t>, con el fin de aumentar el bienestar social y generar equidad.</w:t>
      </w:r>
    </w:p>
    <w:p w14:paraId="687A0C56" w14:textId="3BF1CB45" w:rsidR="00241785" w:rsidRDefault="00C72DE6">
      <w:pPr>
        <w:tabs>
          <w:tab w:val="left" w:pos="284"/>
        </w:tabs>
        <w:spacing w:before="180" w:after="180" w:line="276" w:lineRule="auto"/>
        <w:ind w:left="720"/>
        <w:jc w:val="both"/>
        <w:rPr>
          <w:i/>
          <w:sz w:val="22"/>
          <w:szCs w:val="22"/>
          <w:highlight w:val="white"/>
        </w:rPr>
      </w:pPr>
      <w:r>
        <w:rPr>
          <w:i/>
          <w:sz w:val="22"/>
          <w:szCs w:val="22"/>
          <w:highlight w:val="white"/>
        </w:rPr>
        <w:t xml:space="preserve">Dicho marco delineará un enfoque regionalizado </w:t>
      </w:r>
      <w:r w:rsidR="002B026F">
        <w:rPr>
          <w:i/>
          <w:sz w:val="22"/>
          <w:szCs w:val="22"/>
          <w:highlight w:val="white"/>
        </w:rPr>
        <w:t>de acuerdo con</w:t>
      </w:r>
      <w:r>
        <w:rPr>
          <w:i/>
          <w:sz w:val="22"/>
          <w:szCs w:val="22"/>
          <w:highlight w:val="white"/>
        </w:rPr>
        <w:t xml:space="preserve"> las realidades socioeconómicos de cada región.</w:t>
      </w:r>
    </w:p>
    <w:p w14:paraId="6D705D92" w14:textId="77777777" w:rsidR="002B026F" w:rsidRDefault="002B026F">
      <w:pPr>
        <w:tabs>
          <w:tab w:val="left" w:pos="284"/>
        </w:tabs>
        <w:spacing w:before="180" w:after="180" w:line="276" w:lineRule="auto"/>
        <w:ind w:left="720"/>
        <w:jc w:val="both"/>
        <w:rPr>
          <w:i/>
          <w:sz w:val="22"/>
          <w:szCs w:val="22"/>
          <w:highlight w:val="white"/>
        </w:rPr>
      </w:pPr>
    </w:p>
    <w:p w14:paraId="2D382E70" w14:textId="77777777" w:rsidR="00241785" w:rsidRDefault="00C72DE6">
      <w:pPr>
        <w:tabs>
          <w:tab w:val="left" w:pos="284"/>
        </w:tabs>
        <w:spacing w:before="180" w:after="180" w:line="360" w:lineRule="auto"/>
        <w:jc w:val="both"/>
        <w:rPr>
          <w:b/>
          <w:sz w:val="22"/>
          <w:szCs w:val="22"/>
          <w:highlight w:val="white"/>
        </w:rPr>
      </w:pPr>
      <w:r>
        <w:rPr>
          <w:b/>
          <w:sz w:val="22"/>
          <w:szCs w:val="22"/>
          <w:highlight w:val="white"/>
        </w:rPr>
        <w:t>DOCUMENTOS CONPES:</w:t>
      </w:r>
    </w:p>
    <w:p w14:paraId="5F5A4771" w14:textId="77777777" w:rsidR="00241785" w:rsidRDefault="00C72DE6">
      <w:pPr>
        <w:tabs>
          <w:tab w:val="left" w:pos="284"/>
        </w:tabs>
        <w:spacing w:before="180" w:after="180" w:line="360" w:lineRule="auto"/>
        <w:jc w:val="both"/>
        <w:rPr>
          <w:sz w:val="22"/>
          <w:szCs w:val="22"/>
          <w:highlight w:val="white"/>
        </w:rPr>
      </w:pPr>
      <w:r>
        <w:rPr>
          <w:b/>
          <w:sz w:val="22"/>
          <w:szCs w:val="22"/>
          <w:highlight w:val="white"/>
        </w:rPr>
        <w:t>CONPES 4011 de 2020:</w:t>
      </w:r>
      <w:r>
        <w:rPr>
          <w:b/>
          <w:i/>
          <w:sz w:val="22"/>
          <w:szCs w:val="22"/>
          <w:highlight w:val="white"/>
        </w:rPr>
        <w:t xml:space="preserve"> </w:t>
      </w:r>
      <w:r>
        <w:rPr>
          <w:i/>
          <w:sz w:val="22"/>
          <w:szCs w:val="22"/>
          <w:highlight w:val="white"/>
        </w:rPr>
        <w:t xml:space="preserve">Política Nacional de Emprendimiento. </w:t>
      </w:r>
      <w:r>
        <w:rPr>
          <w:sz w:val="22"/>
          <w:szCs w:val="22"/>
          <w:highlight w:val="white"/>
        </w:rPr>
        <w:t xml:space="preserve">Mediante este documento CONPES se busca aunar esfuerzos para crear una política pública que conecte la política social para la generación de ingresos con la política de desarrollo empresarial para la generación de riqueza, con el fin de reactivar el crecimiento económico y aumentar la productividad del país. </w:t>
      </w:r>
    </w:p>
    <w:p w14:paraId="2573A234" w14:textId="0DF342F3" w:rsidR="00241785" w:rsidRDefault="00C72DE6">
      <w:pPr>
        <w:tabs>
          <w:tab w:val="left" w:pos="284"/>
        </w:tabs>
        <w:spacing w:before="180" w:after="180" w:line="360" w:lineRule="auto"/>
        <w:jc w:val="both"/>
        <w:rPr>
          <w:i/>
          <w:sz w:val="22"/>
          <w:szCs w:val="22"/>
        </w:rPr>
      </w:pPr>
      <w:r>
        <w:rPr>
          <w:b/>
          <w:sz w:val="22"/>
          <w:szCs w:val="22"/>
          <w:highlight w:val="white"/>
        </w:rPr>
        <w:t xml:space="preserve">CONPES D.C. 25 de 2023: </w:t>
      </w:r>
      <w:r>
        <w:rPr>
          <w:i/>
          <w:sz w:val="22"/>
          <w:szCs w:val="22"/>
          <w:highlight w:val="white"/>
        </w:rPr>
        <w:t xml:space="preserve">“Política Pública de productividad, competitividad y desarrollo socioeconómico”. </w:t>
      </w:r>
      <w:r>
        <w:rPr>
          <w:sz w:val="22"/>
          <w:szCs w:val="22"/>
          <w:highlight w:val="white"/>
        </w:rPr>
        <w:t xml:space="preserve">Mediante este documento CONPES D.C., se busca </w:t>
      </w:r>
      <w:r>
        <w:rPr>
          <w:rFonts w:ascii="Calibri" w:eastAsia="Calibri" w:hAnsi="Calibri" w:cs="Calibri"/>
          <w:sz w:val="22"/>
          <w:szCs w:val="22"/>
          <w:highlight w:val="white"/>
        </w:rPr>
        <w:t xml:space="preserve">promover el aumento de la productividad de las unidades productivas por medio de la </w:t>
      </w:r>
      <w:r w:rsidR="002B026F">
        <w:rPr>
          <w:rFonts w:ascii="Calibri" w:eastAsia="Calibri" w:hAnsi="Calibri" w:cs="Calibri"/>
          <w:sz w:val="22"/>
          <w:szCs w:val="22"/>
          <w:highlight w:val="white"/>
        </w:rPr>
        <w:t>potencialización</w:t>
      </w:r>
      <w:r>
        <w:rPr>
          <w:rFonts w:ascii="Calibri" w:eastAsia="Calibri" w:hAnsi="Calibri" w:cs="Calibri"/>
          <w:sz w:val="22"/>
          <w:szCs w:val="22"/>
          <w:highlight w:val="white"/>
        </w:rPr>
        <w:t xml:space="preserve"> y aprovechamiento de los beneficios de las aglomeraciones </w:t>
      </w:r>
      <w:r w:rsidR="002B026F">
        <w:rPr>
          <w:rFonts w:ascii="Calibri" w:eastAsia="Calibri" w:hAnsi="Calibri" w:cs="Calibri"/>
          <w:sz w:val="22"/>
          <w:szCs w:val="22"/>
          <w:highlight w:val="white"/>
        </w:rPr>
        <w:t>económicas</w:t>
      </w:r>
      <w:r>
        <w:rPr>
          <w:rFonts w:ascii="Calibri" w:eastAsia="Calibri" w:hAnsi="Calibri" w:cs="Calibri"/>
          <w:sz w:val="22"/>
          <w:szCs w:val="22"/>
          <w:highlight w:val="white"/>
        </w:rPr>
        <w:t xml:space="preserve">, de manera que se </w:t>
      </w:r>
      <w:r w:rsidR="002B026F">
        <w:rPr>
          <w:rFonts w:ascii="Calibri" w:eastAsia="Calibri" w:hAnsi="Calibri" w:cs="Calibri"/>
          <w:sz w:val="22"/>
          <w:szCs w:val="22"/>
          <w:highlight w:val="white"/>
        </w:rPr>
        <w:t>amplíe</w:t>
      </w:r>
      <w:r>
        <w:rPr>
          <w:rFonts w:ascii="Calibri" w:eastAsia="Calibri" w:hAnsi="Calibri" w:cs="Calibri"/>
          <w:sz w:val="22"/>
          <w:szCs w:val="22"/>
          <w:highlight w:val="white"/>
        </w:rPr>
        <w:t xml:space="preserve"> la generación de empleo y de ingresos para las personas y, en ese sentido, el desarrollo </w:t>
      </w:r>
      <w:r w:rsidR="002B026F">
        <w:rPr>
          <w:rFonts w:ascii="Calibri" w:eastAsia="Calibri" w:hAnsi="Calibri" w:cs="Calibri"/>
          <w:sz w:val="22"/>
          <w:szCs w:val="22"/>
          <w:highlight w:val="white"/>
        </w:rPr>
        <w:t>económico</w:t>
      </w:r>
      <w:r>
        <w:rPr>
          <w:rFonts w:ascii="Calibri" w:eastAsia="Calibri" w:hAnsi="Calibri" w:cs="Calibri"/>
          <w:sz w:val="22"/>
          <w:szCs w:val="22"/>
          <w:highlight w:val="white"/>
        </w:rPr>
        <w:t xml:space="preserve"> de los ciudadanos.</w:t>
      </w:r>
    </w:p>
    <w:p w14:paraId="60226ACC" w14:textId="77777777" w:rsidR="00241785" w:rsidRDefault="00C72DE6">
      <w:pPr>
        <w:numPr>
          <w:ilvl w:val="0"/>
          <w:numId w:val="4"/>
        </w:numPr>
        <w:pBdr>
          <w:top w:val="nil"/>
          <w:left w:val="nil"/>
          <w:bottom w:val="nil"/>
          <w:right w:val="nil"/>
          <w:between w:val="nil"/>
        </w:pBdr>
        <w:tabs>
          <w:tab w:val="left" w:pos="284"/>
        </w:tabs>
        <w:spacing w:before="280" w:after="280" w:line="276" w:lineRule="auto"/>
        <w:jc w:val="both"/>
        <w:rPr>
          <w:sz w:val="22"/>
          <w:szCs w:val="22"/>
        </w:rPr>
      </w:pPr>
      <w:r>
        <w:rPr>
          <w:b/>
          <w:sz w:val="22"/>
          <w:szCs w:val="22"/>
        </w:rPr>
        <w:t>COMPETENCIA DEL CONCEJO DE BOGOTÁ</w:t>
      </w:r>
    </w:p>
    <w:p w14:paraId="23680002" w14:textId="77777777" w:rsidR="00241785" w:rsidRDefault="00C72DE6">
      <w:pPr>
        <w:tabs>
          <w:tab w:val="left" w:pos="284"/>
        </w:tabs>
        <w:spacing w:line="276" w:lineRule="auto"/>
        <w:jc w:val="both"/>
        <w:rPr>
          <w:sz w:val="22"/>
          <w:szCs w:val="22"/>
        </w:rPr>
      </w:pPr>
      <w:r>
        <w:rPr>
          <w:sz w:val="22"/>
          <w:szCs w:val="22"/>
        </w:rPr>
        <w:t xml:space="preserve">El Cabildo Distrital es competente para estudiar la presente iniciativa con base en las normas que a continuación se citan: </w:t>
      </w:r>
    </w:p>
    <w:p w14:paraId="67D515C8" w14:textId="77777777" w:rsidR="00241785" w:rsidRDefault="00C72DE6">
      <w:pPr>
        <w:tabs>
          <w:tab w:val="left" w:pos="284"/>
        </w:tabs>
        <w:spacing w:line="276" w:lineRule="auto"/>
        <w:jc w:val="both"/>
        <w:rPr>
          <w:b/>
          <w:sz w:val="22"/>
          <w:szCs w:val="22"/>
        </w:rPr>
      </w:pPr>
      <w:r>
        <w:rPr>
          <w:b/>
          <w:sz w:val="22"/>
          <w:szCs w:val="22"/>
        </w:rPr>
        <w:t xml:space="preserve"> </w:t>
      </w:r>
    </w:p>
    <w:p w14:paraId="74B17750" w14:textId="77777777" w:rsidR="00241785" w:rsidRDefault="00C72DE6">
      <w:pPr>
        <w:tabs>
          <w:tab w:val="left" w:pos="284"/>
        </w:tabs>
        <w:jc w:val="both"/>
        <w:rPr>
          <w:b/>
          <w:sz w:val="22"/>
          <w:szCs w:val="22"/>
        </w:rPr>
      </w:pPr>
      <w:r>
        <w:rPr>
          <w:b/>
          <w:sz w:val="22"/>
          <w:szCs w:val="22"/>
        </w:rPr>
        <w:t xml:space="preserve">CONSTITUCIÓN POLÍTICA </w:t>
      </w:r>
    </w:p>
    <w:p w14:paraId="573B3A36" w14:textId="77777777" w:rsidR="00241785" w:rsidRDefault="00C72DE6">
      <w:pPr>
        <w:tabs>
          <w:tab w:val="left" w:pos="284"/>
        </w:tabs>
        <w:spacing w:before="280" w:after="280"/>
        <w:ind w:left="1280" w:hanging="280"/>
        <w:jc w:val="both"/>
        <w:rPr>
          <w:i/>
          <w:sz w:val="22"/>
          <w:szCs w:val="22"/>
        </w:rPr>
      </w:pPr>
      <w:r>
        <w:rPr>
          <w:b/>
          <w:i/>
          <w:sz w:val="22"/>
          <w:szCs w:val="22"/>
        </w:rPr>
        <w:t xml:space="preserve">“ARTÍCULO 313. </w:t>
      </w:r>
      <w:r>
        <w:rPr>
          <w:i/>
          <w:sz w:val="22"/>
          <w:szCs w:val="22"/>
        </w:rPr>
        <w:t>Corresponde a los concejos:</w:t>
      </w:r>
    </w:p>
    <w:p w14:paraId="136F119A" w14:textId="51920FF6" w:rsidR="002B026F" w:rsidRDefault="00C72DE6" w:rsidP="0017494F">
      <w:pPr>
        <w:tabs>
          <w:tab w:val="left" w:pos="284"/>
        </w:tabs>
        <w:spacing w:after="280"/>
        <w:ind w:left="1280" w:hanging="280"/>
        <w:jc w:val="both"/>
        <w:rPr>
          <w:i/>
          <w:sz w:val="22"/>
          <w:szCs w:val="22"/>
        </w:rPr>
      </w:pPr>
      <w:r>
        <w:rPr>
          <w:i/>
          <w:sz w:val="22"/>
          <w:szCs w:val="22"/>
        </w:rPr>
        <w:t>1. Reglamentar las funciones y la eficiente prestación de los servicios a cargo del municipio. (…)”</w:t>
      </w:r>
    </w:p>
    <w:p w14:paraId="0DC38F4C" w14:textId="77777777" w:rsidR="00241785" w:rsidRDefault="00C72DE6">
      <w:pPr>
        <w:tabs>
          <w:tab w:val="left" w:pos="284"/>
        </w:tabs>
        <w:spacing w:line="301" w:lineRule="auto"/>
        <w:jc w:val="both"/>
        <w:rPr>
          <w:b/>
          <w:i/>
          <w:sz w:val="22"/>
          <w:szCs w:val="22"/>
        </w:rPr>
      </w:pPr>
      <w:r>
        <w:rPr>
          <w:b/>
          <w:i/>
          <w:sz w:val="22"/>
          <w:szCs w:val="22"/>
        </w:rPr>
        <w:t xml:space="preserve"> </w:t>
      </w:r>
    </w:p>
    <w:p w14:paraId="225D0418" w14:textId="77777777" w:rsidR="00241785" w:rsidRDefault="00C72DE6">
      <w:pPr>
        <w:tabs>
          <w:tab w:val="left" w:pos="284"/>
        </w:tabs>
        <w:spacing w:line="301" w:lineRule="auto"/>
        <w:jc w:val="both"/>
        <w:rPr>
          <w:b/>
          <w:sz w:val="22"/>
          <w:szCs w:val="22"/>
        </w:rPr>
      </w:pPr>
      <w:r>
        <w:rPr>
          <w:b/>
          <w:sz w:val="22"/>
          <w:szCs w:val="22"/>
        </w:rPr>
        <w:t xml:space="preserve">DECRETO LEY 1421 de 1993 </w:t>
      </w:r>
    </w:p>
    <w:p w14:paraId="6572CA02" w14:textId="77777777" w:rsidR="00241785" w:rsidRDefault="00241785">
      <w:pPr>
        <w:tabs>
          <w:tab w:val="left" w:pos="284"/>
        </w:tabs>
        <w:spacing w:line="301" w:lineRule="auto"/>
        <w:jc w:val="both"/>
        <w:rPr>
          <w:b/>
          <w:sz w:val="22"/>
          <w:szCs w:val="22"/>
        </w:rPr>
      </w:pPr>
    </w:p>
    <w:p w14:paraId="7FBC9EE4" w14:textId="77777777" w:rsidR="00241785" w:rsidRDefault="00C72DE6">
      <w:pPr>
        <w:tabs>
          <w:tab w:val="left" w:pos="284"/>
        </w:tabs>
        <w:spacing w:line="301" w:lineRule="auto"/>
        <w:jc w:val="both"/>
        <w:rPr>
          <w:sz w:val="22"/>
          <w:szCs w:val="22"/>
        </w:rPr>
      </w:pPr>
      <w:r>
        <w:rPr>
          <w:sz w:val="22"/>
          <w:szCs w:val="22"/>
        </w:rPr>
        <w:t>El Concejo Distrital de Bogotá D.C. es competente de conformidad con los artículos 6 y 12:</w:t>
      </w:r>
    </w:p>
    <w:p w14:paraId="02288DD0" w14:textId="77777777" w:rsidR="00241785" w:rsidRDefault="00C72DE6">
      <w:pPr>
        <w:tabs>
          <w:tab w:val="left" w:pos="284"/>
        </w:tabs>
        <w:spacing w:line="301" w:lineRule="auto"/>
        <w:ind w:left="720"/>
        <w:jc w:val="both"/>
        <w:rPr>
          <w:i/>
          <w:sz w:val="22"/>
          <w:szCs w:val="22"/>
        </w:rPr>
      </w:pPr>
      <w:r>
        <w:rPr>
          <w:b/>
          <w:i/>
          <w:sz w:val="22"/>
          <w:szCs w:val="22"/>
        </w:rPr>
        <w:t xml:space="preserve">“ARTÍCULO 6: PARTICIPACIÓN COMUNITARIA Y VEEDURÍA CIUDADANA. </w:t>
      </w:r>
      <w:r>
        <w:rPr>
          <w:i/>
          <w:sz w:val="22"/>
          <w:szCs w:val="22"/>
        </w:rPr>
        <w:t xml:space="preserve">Las autoridades distritales promoverán la organización de los habitantes y comunidades del Distrito y estimularán la creación de las asociaciones profesionales, culturales, cívicas, populares, comunitarias y juveniles que sirvan de mecanismo de representación en las distintas instancias de participación, concertación y vigilancia de la gestión distrital y local. </w:t>
      </w:r>
    </w:p>
    <w:p w14:paraId="68D51723" w14:textId="77777777" w:rsidR="00241785" w:rsidRDefault="00C72DE6">
      <w:pPr>
        <w:tabs>
          <w:tab w:val="left" w:pos="284"/>
        </w:tabs>
        <w:spacing w:before="280" w:after="280" w:line="276" w:lineRule="auto"/>
        <w:ind w:left="700"/>
        <w:jc w:val="both"/>
        <w:rPr>
          <w:i/>
          <w:sz w:val="22"/>
          <w:szCs w:val="22"/>
        </w:rPr>
      </w:pPr>
      <w:r>
        <w:rPr>
          <w:i/>
          <w:sz w:val="22"/>
          <w:szCs w:val="22"/>
          <w:u w:val="single"/>
        </w:rPr>
        <w:t>De conformidad con lo que disponga la ley, el Concejo dictará las normas necesarias para asegurar la vigencia de las instituciones y mecanismos de participación ciudadana y comunitaria</w:t>
      </w:r>
      <w:r>
        <w:rPr>
          <w:i/>
          <w:sz w:val="22"/>
          <w:szCs w:val="22"/>
        </w:rPr>
        <w:t xml:space="preserve"> y estimular y fortalecer los procedimientos que garanticen la veeduría ciudadana frente a la gestión y la contratación administrativas. (subrayado fuera de texto original) (…)</w:t>
      </w:r>
    </w:p>
    <w:p w14:paraId="51E58ADC" w14:textId="77777777" w:rsidR="00241785" w:rsidRDefault="00C72DE6">
      <w:pPr>
        <w:tabs>
          <w:tab w:val="left" w:pos="284"/>
        </w:tabs>
        <w:spacing w:line="301" w:lineRule="auto"/>
        <w:ind w:left="720"/>
        <w:jc w:val="both"/>
        <w:rPr>
          <w:i/>
          <w:sz w:val="22"/>
          <w:szCs w:val="22"/>
        </w:rPr>
      </w:pPr>
      <w:r>
        <w:rPr>
          <w:b/>
          <w:sz w:val="22"/>
          <w:szCs w:val="22"/>
        </w:rPr>
        <w:t xml:space="preserve">ARTÍCULO 12: </w:t>
      </w:r>
      <w:r>
        <w:rPr>
          <w:b/>
          <w:i/>
          <w:sz w:val="22"/>
          <w:szCs w:val="22"/>
        </w:rPr>
        <w:t xml:space="preserve">ATRIBUCIONES. </w:t>
      </w:r>
      <w:r>
        <w:rPr>
          <w:i/>
          <w:sz w:val="22"/>
          <w:szCs w:val="22"/>
        </w:rPr>
        <w:t xml:space="preserve">Corresponde al Concejo Distrital, de conformidad con la Constitución y la ley: </w:t>
      </w:r>
    </w:p>
    <w:p w14:paraId="6E0CEF0A" w14:textId="77777777" w:rsidR="00241785" w:rsidRDefault="00C72DE6">
      <w:pPr>
        <w:tabs>
          <w:tab w:val="left" w:pos="284"/>
        </w:tabs>
        <w:spacing w:line="301" w:lineRule="auto"/>
        <w:ind w:left="1280" w:hanging="280"/>
        <w:jc w:val="both"/>
        <w:rPr>
          <w:i/>
          <w:sz w:val="22"/>
          <w:szCs w:val="22"/>
        </w:rPr>
      </w:pPr>
      <w:r>
        <w:rPr>
          <w:i/>
          <w:sz w:val="22"/>
          <w:szCs w:val="22"/>
        </w:rPr>
        <w:t xml:space="preserve"> </w:t>
      </w:r>
    </w:p>
    <w:p w14:paraId="013B39AA" w14:textId="77777777" w:rsidR="00241785" w:rsidRDefault="00C72DE6">
      <w:pPr>
        <w:tabs>
          <w:tab w:val="left" w:pos="284"/>
        </w:tabs>
        <w:spacing w:line="301" w:lineRule="auto"/>
        <w:ind w:left="720"/>
        <w:jc w:val="both"/>
        <w:rPr>
          <w:b/>
          <w:i/>
          <w:sz w:val="22"/>
          <w:szCs w:val="22"/>
        </w:rPr>
      </w:pPr>
      <w:r>
        <w:rPr>
          <w:i/>
          <w:sz w:val="22"/>
          <w:szCs w:val="22"/>
        </w:rPr>
        <w:t>1. Dictar las normas necesarias para garantizar el adecuado cumplimiento de las funciones y la eficiente prestación de los servicios a cargo del Distrito. (…)”</w:t>
      </w:r>
      <w:r>
        <w:rPr>
          <w:b/>
          <w:i/>
          <w:sz w:val="22"/>
          <w:szCs w:val="22"/>
        </w:rPr>
        <w:t xml:space="preserve"> </w:t>
      </w:r>
    </w:p>
    <w:p w14:paraId="581FD8F1" w14:textId="77777777" w:rsidR="00241785" w:rsidRDefault="00C72DE6">
      <w:pPr>
        <w:tabs>
          <w:tab w:val="left" w:pos="284"/>
        </w:tabs>
        <w:spacing w:line="301" w:lineRule="auto"/>
        <w:ind w:left="720"/>
        <w:jc w:val="both"/>
        <w:rPr>
          <w:b/>
          <w:i/>
          <w:sz w:val="22"/>
          <w:szCs w:val="22"/>
        </w:rPr>
      </w:pPr>
      <w:r>
        <w:rPr>
          <w:b/>
          <w:i/>
          <w:sz w:val="22"/>
          <w:szCs w:val="22"/>
        </w:rPr>
        <w:t xml:space="preserve"> </w:t>
      </w:r>
    </w:p>
    <w:p w14:paraId="58D27981" w14:textId="77777777" w:rsidR="00241785" w:rsidRPr="0070620D" w:rsidRDefault="00C72DE6">
      <w:pPr>
        <w:tabs>
          <w:tab w:val="left" w:pos="284"/>
        </w:tabs>
        <w:spacing w:line="301" w:lineRule="auto"/>
        <w:jc w:val="both"/>
        <w:rPr>
          <w:b/>
          <w:iCs/>
          <w:sz w:val="22"/>
          <w:szCs w:val="22"/>
        </w:rPr>
      </w:pPr>
      <w:r w:rsidRPr="0070620D">
        <w:rPr>
          <w:b/>
          <w:iCs/>
          <w:sz w:val="22"/>
          <w:szCs w:val="22"/>
        </w:rPr>
        <w:t>ACUERDO No. 741 DE 2019</w:t>
      </w:r>
    </w:p>
    <w:p w14:paraId="1D8C3B02" w14:textId="77777777" w:rsidR="00241785" w:rsidRDefault="00C72DE6">
      <w:pPr>
        <w:tabs>
          <w:tab w:val="left" w:pos="284"/>
        </w:tabs>
        <w:spacing w:line="301" w:lineRule="auto"/>
        <w:jc w:val="both"/>
        <w:rPr>
          <w:b/>
          <w:i/>
          <w:sz w:val="22"/>
          <w:szCs w:val="22"/>
        </w:rPr>
      </w:pPr>
      <w:r>
        <w:rPr>
          <w:b/>
          <w:i/>
          <w:sz w:val="22"/>
          <w:szCs w:val="22"/>
        </w:rPr>
        <w:t xml:space="preserve"> </w:t>
      </w:r>
    </w:p>
    <w:p w14:paraId="27C079D8" w14:textId="77777777" w:rsidR="00241785" w:rsidRDefault="00C72DE6">
      <w:pPr>
        <w:tabs>
          <w:tab w:val="left" w:pos="284"/>
        </w:tabs>
        <w:spacing w:line="301" w:lineRule="auto"/>
        <w:ind w:left="720"/>
        <w:jc w:val="both"/>
        <w:rPr>
          <w:i/>
          <w:sz w:val="22"/>
          <w:szCs w:val="22"/>
        </w:rPr>
      </w:pPr>
      <w:r>
        <w:rPr>
          <w:b/>
          <w:i/>
          <w:sz w:val="22"/>
          <w:szCs w:val="22"/>
        </w:rPr>
        <w:t xml:space="preserve">“ARTÍCULO 3. ATRIBUCIONES. </w:t>
      </w:r>
      <w:r>
        <w:rPr>
          <w:i/>
          <w:sz w:val="22"/>
          <w:szCs w:val="22"/>
        </w:rPr>
        <w:t>El Concejo de Bogotá, D.C., ejerce las atribuciones, funciones y competencias de conformidad con lo establecido en la Constitución Política, el Estatuto Orgánico para Bogotá, D.C., las leyes especiales, así como las conferidas a las Asambleas Departamentales en lo que fuere compatible con su régimen especial. En ausencia de las normas anteriores, se somete a las disposiciones constitucionales y legales vigentes para los municipios.</w:t>
      </w:r>
    </w:p>
    <w:p w14:paraId="0EE47A8D" w14:textId="1BE08C4B" w:rsidR="00241785" w:rsidRPr="0017494F" w:rsidRDefault="00C72DE6" w:rsidP="0017494F">
      <w:pPr>
        <w:tabs>
          <w:tab w:val="left" w:pos="284"/>
        </w:tabs>
        <w:spacing w:line="301" w:lineRule="auto"/>
        <w:jc w:val="both"/>
        <w:rPr>
          <w:b/>
          <w:i/>
          <w:sz w:val="22"/>
          <w:szCs w:val="22"/>
        </w:rPr>
      </w:pPr>
      <w:r>
        <w:rPr>
          <w:b/>
          <w:i/>
          <w:sz w:val="22"/>
          <w:szCs w:val="22"/>
        </w:rPr>
        <w:t xml:space="preserve"> </w:t>
      </w:r>
    </w:p>
    <w:p w14:paraId="6E3E34DB" w14:textId="77777777" w:rsidR="00241785" w:rsidRDefault="00C72DE6">
      <w:pPr>
        <w:numPr>
          <w:ilvl w:val="0"/>
          <w:numId w:val="4"/>
        </w:numPr>
        <w:pBdr>
          <w:top w:val="nil"/>
          <w:left w:val="nil"/>
          <w:bottom w:val="nil"/>
          <w:right w:val="nil"/>
          <w:between w:val="nil"/>
        </w:pBdr>
        <w:tabs>
          <w:tab w:val="left" w:pos="284"/>
        </w:tabs>
        <w:spacing w:line="276" w:lineRule="auto"/>
        <w:jc w:val="both"/>
        <w:rPr>
          <w:i/>
          <w:sz w:val="22"/>
          <w:szCs w:val="22"/>
        </w:rPr>
      </w:pPr>
      <w:r>
        <w:rPr>
          <w:b/>
          <w:sz w:val="22"/>
          <w:szCs w:val="22"/>
        </w:rPr>
        <w:t>IMPACTO FISCAL</w:t>
      </w:r>
    </w:p>
    <w:p w14:paraId="637EBA41" w14:textId="77777777" w:rsidR="00241785" w:rsidRDefault="00C72DE6">
      <w:pPr>
        <w:widowControl w:val="0"/>
        <w:tabs>
          <w:tab w:val="left" w:pos="284"/>
        </w:tabs>
        <w:spacing w:before="240" w:after="240" w:line="301" w:lineRule="auto"/>
        <w:jc w:val="both"/>
        <w:rPr>
          <w:sz w:val="22"/>
          <w:szCs w:val="22"/>
        </w:rPr>
      </w:pPr>
      <w:r>
        <w:rPr>
          <w:sz w:val="22"/>
          <w:szCs w:val="22"/>
        </w:rPr>
        <w:t>De conformidad con el Artículo 7° de la Ley 819 de 2003, el Proyecto de Acuerdo en estudio no tiene un impacto fiscal que requiera una modificación al marco fiscal de mediano plazo. Los gastos derivados de esta iniciativa se entenderán incluidos en los presupuestos y en el Plan Operativo Anual de Inversión de las entidades competentes.</w:t>
      </w:r>
    </w:p>
    <w:p w14:paraId="0FBC43D5" w14:textId="77777777" w:rsidR="00241785" w:rsidRDefault="00C72DE6">
      <w:pPr>
        <w:widowControl w:val="0"/>
        <w:tabs>
          <w:tab w:val="left" w:pos="284"/>
        </w:tabs>
        <w:spacing w:line="301" w:lineRule="auto"/>
        <w:jc w:val="both"/>
        <w:rPr>
          <w:sz w:val="22"/>
          <w:szCs w:val="22"/>
        </w:rPr>
      </w:pPr>
      <w:r>
        <w:rPr>
          <w:sz w:val="22"/>
          <w:szCs w:val="22"/>
        </w:rPr>
        <w:t>El Artículo 7 de la Ley 819 de 2003, estableció:</w:t>
      </w:r>
    </w:p>
    <w:p w14:paraId="4482EB4A" w14:textId="77777777" w:rsidR="00241785" w:rsidRDefault="00C72DE6">
      <w:pPr>
        <w:widowControl w:val="0"/>
        <w:tabs>
          <w:tab w:val="left" w:pos="284"/>
        </w:tabs>
        <w:spacing w:line="301" w:lineRule="auto"/>
        <w:jc w:val="both"/>
        <w:rPr>
          <w:sz w:val="22"/>
          <w:szCs w:val="22"/>
        </w:rPr>
      </w:pPr>
      <w:r>
        <w:rPr>
          <w:sz w:val="22"/>
          <w:szCs w:val="22"/>
        </w:rPr>
        <w:t xml:space="preserve"> </w:t>
      </w:r>
    </w:p>
    <w:p w14:paraId="6D895677" w14:textId="77777777" w:rsidR="00241785" w:rsidRDefault="00C72DE6">
      <w:pPr>
        <w:widowControl w:val="0"/>
        <w:tabs>
          <w:tab w:val="left" w:pos="284"/>
        </w:tabs>
        <w:spacing w:line="301" w:lineRule="auto"/>
        <w:ind w:left="720"/>
        <w:jc w:val="both"/>
        <w:rPr>
          <w:b/>
          <w:sz w:val="22"/>
          <w:szCs w:val="22"/>
        </w:rPr>
      </w:pPr>
      <w:r>
        <w:rPr>
          <w:sz w:val="22"/>
          <w:szCs w:val="22"/>
        </w:rPr>
        <w:t>“Artículo 7º. Análisis del impacto fiscal de las normas. En todo momento, el impacto fiscal de cualquier proyecto de ley, ordenanza o acuerdo, que ordene gasto o que otorgue beneficios tributarios, deberá hacerse explícito y deberá ser compatible con el Marco Fiscal de Mediano Plazo. Para estos propósitos, deberá incluirse expresamente en la exposición de motivos y en las ponencias de trámite respectivas los costos fiscales de la iniciativa y la fuente de ingreso adicional generada para el financiamiento de dicho costo”</w:t>
      </w:r>
    </w:p>
    <w:p w14:paraId="48C6F23D" w14:textId="77777777" w:rsidR="00241785" w:rsidRDefault="00C72DE6">
      <w:pPr>
        <w:widowControl w:val="0"/>
        <w:tabs>
          <w:tab w:val="left" w:pos="284"/>
        </w:tabs>
        <w:spacing w:before="240" w:after="240" w:line="301" w:lineRule="auto"/>
        <w:jc w:val="both"/>
        <w:rPr>
          <w:sz w:val="22"/>
          <w:szCs w:val="22"/>
        </w:rPr>
      </w:pPr>
      <w:r>
        <w:rPr>
          <w:sz w:val="22"/>
          <w:szCs w:val="22"/>
        </w:rPr>
        <w:t>En el caso específico, es importante tener en cuenta la Sentencia C-911 de 2007 de la Corte Constitucional, que subraya que el impacto fiscal de las normas no debe ser un obstáculo para que las corporaciones públicas ejerzan su función legislativa y normativa de la siguiente manera:</w:t>
      </w:r>
    </w:p>
    <w:p w14:paraId="1347F44A" w14:textId="77777777" w:rsidR="00241785" w:rsidRDefault="00241785">
      <w:pPr>
        <w:widowControl w:val="0"/>
        <w:tabs>
          <w:tab w:val="left" w:pos="284"/>
        </w:tabs>
        <w:spacing w:before="240" w:after="240" w:line="301" w:lineRule="auto"/>
        <w:jc w:val="both"/>
        <w:rPr>
          <w:sz w:val="22"/>
          <w:szCs w:val="22"/>
        </w:rPr>
      </w:pPr>
    </w:p>
    <w:p w14:paraId="4A738476" w14:textId="7AB06827" w:rsidR="00241785" w:rsidRDefault="00C72DE6">
      <w:pPr>
        <w:widowControl w:val="0"/>
        <w:tabs>
          <w:tab w:val="left" w:pos="284"/>
        </w:tabs>
        <w:spacing w:line="301" w:lineRule="auto"/>
        <w:ind w:left="720"/>
        <w:jc w:val="both"/>
        <w:rPr>
          <w:sz w:val="22"/>
          <w:szCs w:val="22"/>
        </w:rPr>
      </w:pPr>
      <w:r>
        <w:rPr>
          <w:sz w:val="22"/>
          <w:szCs w:val="22"/>
        </w:rPr>
        <w:t xml:space="preserve">“En la realidad, aceptar que las condiciones establecidas en el art. 7° de la Ley 819 de 2003 constituyen un requisito de trámite que le incumbe cumplir única y exclusivamente al Congreso reduce desproporcionadamente la capacidad de iniciativa legislativa que </w:t>
      </w:r>
      <w:r w:rsidR="00DA6D2B">
        <w:rPr>
          <w:sz w:val="22"/>
          <w:szCs w:val="22"/>
        </w:rPr>
        <w:t>reside en</w:t>
      </w:r>
      <w:r>
        <w:rPr>
          <w:sz w:val="22"/>
          <w:szCs w:val="22"/>
        </w:rPr>
        <w:t xml:space="preserve"> el Congreso de la República, con lo cual se vulnera el principio de separación de las Ramas del Poder Público, en la medida en que se lesiona seriamente la autonomía del Legislativo”.</w:t>
      </w:r>
    </w:p>
    <w:p w14:paraId="4CAD8AF1" w14:textId="77777777" w:rsidR="00241785" w:rsidRDefault="00C72DE6">
      <w:pPr>
        <w:widowControl w:val="0"/>
        <w:tabs>
          <w:tab w:val="left" w:pos="284"/>
        </w:tabs>
        <w:spacing w:line="301" w:lineRule="auto"/>
        <w:ind w:left="720"/>
        <w:jc w:val="both"/>
        <w:rPr>
          <w:sz w:val="22"/>
          <w:szCs w:val="22"/>
        </w:rPr>
      </w:pPr>
      <w:r>
        <w:rPr>
          <w:sz w:val="22"/>
          <w:szCs w:val="22"/>
        </w:rPr>
        <w:t xml:space="preserve"> </w:t>
      </w:r>
    </w:p>
    <w:p w14:paraId="38B824DB" w14:textId="1BDA3199" w:rsidR="00241785" w:rsidRDefault="00C72DE6">
      <w:pPr>
        <w:widowControl w:val="0"/>
        <w:tabs>
          <w:tab w:val="left" w:pos="284"/>
        </w:tabs>
        <w:spacing w:line="301" w:lineRule="auto"/>
        <w:ind w:left="720"/>
        <w:jc w:val="both"/>
        <w:rPr>
          <w:sz w:val="22"/>
          <w:szCs w:val="22"/>
        </w:rPr>
      </w:pPr>
      <w:r>
        <w:rPr>
          <w:sz w:val="22"/>
          <w:szCs w:val="22"/>
        </w:rPr>
        <w:t xml:space="preserve">“Precisamente, los obstáculos casi insuperables que se generarían para la actividad legislativa del Congreso de la República conducirán a concederle una forma de poder de veto al </w:t>
      </w:r>
      <w:r w:rsidR="00DA6D2B">
        <w:rPr>
          <w:sz w:val="22"/>
          <w:szCs w:val="22"/>
        </w:rPr>
        <w:t>ministro</w:t>
      </w:r>
      <w:r>
        <w:rPr>
          <w:sz w:val="22"/>
          <w:szCs w:val="22"/>
        </w:rPr>
        <w:t xml:space="preserve"> de Hacienda sobre las iniciativas de ley en el Parlamento. Es decir, </w:t>
      </w:r>
      <w:r w:rsidR="00DA6D2B">
        <w:rPr>
          <w:sz w:val="22"/>
          <w:szCs w:val="22"/>
        </w:rPr>
        <w:t>el mencionado</w:t>
      </w:r>
      <w:r>
        <w:rPr>
          <w:sz w:val="22"/>
          <w:szCs w:val="22"/>
        </w:rPr>
        <w:t xml:space="preserve"> artículo debe interpretarse en el sentido de que su fin es obtener que las leyes que se dicten tengan en cuenta las realidades macroeconómicas, pero sin crear barreras insalvables en el ejercicio de la función legislativa ni crear un poder de veto legislativo en cabeza del Ministro de Hacienda”.</w:t>
      </w:r>
    </w:p>
    <w:p w14:paraId="0B6AAF37" w14:textId="77777777" w:rsidR="00241785" w:rsidRDefault="00C72DE6">
      <w:pPr>
        <w:widowControl w:val="0"/>
        <w:tabs>
          <w:tab w:val="left" w:pos="284"/>
        </w:tabs>
        <w:spacing w:before="240" w:after="240" w:line="301" w:lineRule="auto"/>
        <w:jc w:val="both"/>
        <w:rPr>
          <w:sz w:val="22"/>
          <w:szCs w:val="22"/>
        </w:rPr>
      </w:pPr>
      <w:r>
        <w:rPr>
          <w:sz w:val="22"/>
          <w:szCs w:val="22"/>
        </w:rPr>
        <w:t xml:space="preserve">En cumplimiento de esta norma, consideramos que los recursos necesarios para implementar esta iniciativa ya están contemplados en el Plan de Desarrollo Distrital </w:t>
      </w:r>
      <w:r>
        <w:rPr>
          <w:i/>
          <w:sz w:val="22"/>
          <w:szCs w:val="22"/>
        </w:rPr>
        <w:t>“Bogotá Camina Segura”</w:t>
      </w:r>
      <w:r>
        <w:rPr>
          <w:sz w:val="22"/>
          <w:szCs w:val="22"/>
        </w:rPr>
        <w:t>, adoptado mediante el Acuerdo 927 de 2024, específicamente en su objetivo estratégico 3: “Bogotá confía en su potencial”, a través de los programas 3.20 “Promoción del emprendimiento formal, equitativo e incluyente” y 3.19 “Desarrollo empresarial, productividad y empleo”.</w:t>
      </w:r>
    </w:p>
    <w:p w14:paraId="5BA3C993" w14:textId="74626503" w:rsidR="00241785" w:rsidRDefault="00322D7C" w:rsidP="0017494F">
      <w:pPr>
        <w:widowControl w:val="0"/>
        <w:tabs>
          <w:tab w:val="left" w:pos="284"/>
        </w:tabs>
        <w:spacing w:before="240" w:after="240" w:line="301" w:lineRule="auto"/>
        <w:jc w:val="both"/>
        <w:rPr>
          <w:sz w:val="22"/>
          <w:szCs w:val="22"/>
        </w:rPr>
      </w:pPr>
      <w:r>
        <w:rPr>
          <w:noProof/>
          <w:lang w:val="es-CO" w:eastAsia="es-CO"/>
        </w:rPr>
        <w:drawing>
          <wp:anchor distT="0" distB="0" distL="114300" distR="114300" simplePos="0" relativeHeight="251659264" behindDoc="1" locked="0" layoutInCell="1" allowOverlap="1" wp14:anchorId="1C49E420" wp14:editId="6246AC6C">
            <wp:simplePos x="0" y="0"/>
            <wp:positionH relativeFrom="margin">
              <wp:posOffset>3933825</wp:posOffset>
            </wp:positionH>
            <wp:positionV relativeFrom="page">
              <wp:posOffset>7833995</wp:posOffset>
            </wp:positionV>
            <wp:extent cx="1012031" cy="714374"/>
            <wp:effectExtent l="0" t="0" r="0" b="0"/>
            <wp:wrapNone/>
            <wp:docPr id="384224919" name="Imagen 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224919" name="Imagen 1" descr="Texto&#10;&#10;Descripción generada automáticamente"/>
                    <pic:cNvPicPr/>
                  </pic:nvPicPr>
                  <pic:blipFill>
                    <a:blip r:embed="rId15">
                      <a:extLst>
                        <a:ext uri="{28A0092B-C50C-407E-A947-70E740481C1C}">
                          <a14:useLocalDpi xmlns:a14="http://schemas.microsoft.com/office/drawing/2010/main" val="0"/>
                        </a:ext>
                      </a:extLst>
                    </a:blip>
                    <a:stretch>
                      <a:fillRect/>
                    </a:stretch>
                  </pic:blipFill>
                  <pic:spPr>
                    <a:xfrm>
                      <a:off x="0" y="0"/>
                      <a:ext cx="1012031" cy="714374"/>
                    </a:xfrm>
                    <a:prstGeom prst="rect">
                      <a:avLst/>
                    </a:prstGeom>
                  </pic:spPr>
                </pic:pic>
              </a:graphicData>
            </a:graphic>
            <wp14:sizeRelH relativeFrom="margin">
              <wp14:pctWidth>0</wp14:pctWidth>
            </wp14:sizeRelH>
            <wp14:sizeRelV relativeFrom="margin">
              <wp14:pctHeight>0</wp14:pctHeight>
            </wp14:sizeRelV>
          </wp:anchor>
        </w:drawing>
      </w:r>
      <w:r w:rsidR="00C72DE6">
        <w:rPr>
          <w:sz w:val="22"/>
          <w:szCs w:val="22"/>
        </w:rPr>
        <w:t xml:space="preserve">Además, dentro de las políticas sectoriales vigentes, se encuentra la </w:t>
      </w:r>
      <w:r w:rsidR="00C72DE6">
        <w:rPr>
          <w:i/>
          <w:sz w:val="22"/>
          <w:szCs w:val="22"/>
        </w:rPr>
        <w:t>Política Distrital de Productividad, Competitividad y Desarrollo Socioeconómico</w:t>
      </w:r>
      <w:r w:rsidR="00C72DE6">
        <w:rPr>
          <w:sz w:val="22"/>
          <w:szCs w:val="22"/>
        </w:rPr>
        <w:t>, regulada por el Decreto 064 de 2011. Esta política pública busca promover el crecimiento económico y la competitividad de Bogotá, así como el desarrollo de alternativas productivas, el fortalecimiento empresarial, la generación de ingresos y oportunidades de empleo, y la promoción de las capacidades y potencialidades de las personas. Bajo su eje temático “Sectores Líderes y Apuestas Productivas”, la Secretaría de Desarrollo Económico asignará los recursos necesarios para dar cumplimiento a esta política pública con una perspectiva de largo plazo hasta el año 2038.</w:t>
      </w:r>
      <w:r w:rsidRPr="00322D7C">
        <w:rPr>
          <w:noProof/>
        </w:rPr>
        <w:t xml:space="preserve"> </w:t>
      </w:r>
    </w:p>
    <w:p w14:paraId="3578FCCC" w14:textId="77777777" w:rsidR="00241785" w:rsidRDefault="00241785">
      <w:pPr>
        <w:widowControl w:val="0"/>
        <w:tabs>
          <w:tab w:val="left" w:pos="284"/>
        </w:tabs>
        <w:spacing w:line="276" w:lineRule="auto"/>
        <w:rPr>
          <w:b/>
          <w:sz w:val="22"/>
          <w:szCs w:val="22"/>
        </w:rPr>
      </w:pPr>
    </w:p>
    <w:p w14:paraId="7D86E344" w14:textId="77777777" w:rsidR="00241785" w:rsidRDefault="00241785">
      <w:pPr>
        <w:widowControl w:val="0"/>
        <w:tabs>
          <w:tab w:val="left" w:pos="284"/>
        </w:tabs>
        <w:spacing w:line="276" w:lineRule="auto"/>
        <w:rPr>
          <w:b/>
          <w:sz w:val="22"/>
          <w:szCs w:val="22"/>
        </w:rPr>
      </w:pPr>
    </w:p>
    <w:p w14:paraId="3AC99AA5" w14:textId="77777777" w:rsidR="00241785" w:rsidRDefault="00C72DE6">
      <w:pPr>
        <w:widowControl w:val="0"/>
        <w:tabs>
          <w:tab w:val="left" w:pos="284"/>
        </w:tabs>
        <w:spacing w:line="276" w:lineRule="auto"/>
        <w:rPr>
          <w:b/>
          <w:sz w:val="22"/>
          <w:szCs w:val="22"/>
        </w:rPr>
      </w:pPr>
      <w:r>
        <w:rPr>
          <w:b/>
          <w:sz w:val="22"/>
          <w:szCs w:val="22"/>
        </w:rPr>
        <w:t>SAMIR BEDOYA PIRAQUIVE                                            FABIÁN ANDRÉS PUENTES</w:t>
      </w:r>
    </w:p>
    <w:p w14:paraId="633E77D8" w14:textId="77777777" w:rsidR="00241785" w:rsidRDefault="00C72DE6">
      <w:pPr>
        <w:widowControl w:val="0"/>
        <w:tabs>
          <w:tab w:val="left" w:pos="284"/>
        </w:tabs>
        <w:spacing w:line="276" w:lineRule="auto"/>
        <w:rPr>
          <w:b/>
          <w:sz w:val="22"/>
          <w:szCs w:val="22"/>
        </w:rPr>
      </w:pPr>
      <w:r>
        <w:rPr>
          <w:sz w:val="22"/>
          <w:szCs w:val="22"/>
        </w:rPr>
        <w:t>Concejal de Bogotá                                                             Concejal de Bogotá</w:t>
      </w:r>
    </w:p>
    <w:p w14:paraId="6E887361" w14:textId="77777777" w:rsidR="00241785" w:rsidRDefault="00C72DE6">
      <w:pPr>
        <w:widowControl w:val="0"/>
        <w:tabs>
          <w:tab w:val="left" w:pos="284"/>
        </w:tabs>
        <w:spacing w:line="276" w:lineRule="auto"/>
        <w:rPr>
          <w:b/>
          <w:sz w:val="22"/>
          <w:szCs w:val="22"/>
        </w:rPr>
      </w:pPr>
      <w:r>
        <w:rPr>
          <w:sz w:val="22"/>
          <w:szCs w:val="22"/>
        </w:rPr>
        <w:t>Partido Político MIRA                                                          Partido Político MIRA</w:t>
      </w:r>
    </w:p>
    <w:p w14:paraId="03BF4F3F" w14:textId="77777777" w:rsidR="00241785" w:rsidRDefault="00241785">
      <w:pPr>
        <w:tabs>
          <w:tab w:val="left" w:pos="284"/>
        </w:tabs>
        <w:spacing w:line="276" w:lineRule="auto"/>
        <w:jc w:val="center"/>
        <w:rPr>
          <w:b/>
          <w:sz w:val="22"/>
          <w:szCs w:val="22"/>
        </w:rPr>
      </w:pPr>
    </w:p>
    <w:p w14:paraId="2C46D5EC" w14:textId="77777777" w:rsidR="00241785" w:rsidRDefault="00241785" w:rsidP="0017494F">
      <w:pPr>
        <w:tabs>
          <w:tab w:val="left" w:pos="284"/>
        </w:tabs>
        <w:spacing w:line="276" w:lineRule="auto"/>
        <w:rPr>
          <w:b/>
          <w:sz w:val="22"/>
          <w:szCs w:val="22"/>
        </w:rPr>
      </w:pPr>
    </w:p>
    <w:p w14:paraId="348980AC" w14:textId="77777777" w:rsidR="00241785" w:rsidRDefault="00241785">
      <w:pPr>
        <w:tabs>
          <w:tab w:val="left" w:pos="284"/>
        </w:tabs>
        <w:spacing w:line="276" w:lineRule="auto"/>
        <w:jc w:val="center"/>
        <w:rPr>
          <w:b/>
          <w:sz w:val="22"/>
          <w:szCs w:val="22"/>
        </w:rPr>
      </w:pPr>
    </w:p>
    <w:p w14:paraId="1A1A1A55" w14:textId="77777777" w:rsidR="00241785" w:rsidRDefault="00241785">
      <w:pPr>
        <w:tabs>
          <w:tab w:val="left" w:pos="284"/>
        </w:tabs>
        <w:spacing w:line="276" w:lineRule="auto"/>
        <w:jc w:val="center"/>
        <w:rPr>
          <w:b/>
          <w:sz w:val="22"/>
          <w:szCs w:val="22"/>
        </w:rPr>
      </w:pPr>
    </w:p>
    <w:p w14:paraId="7670EC2B" w14:textId="344EC948" w:rsidR="00241785" w:rsidRDefault="00C72DE6">
      <w:pPr>
        <w:tabs>
          <w:tab w:val="left" w:pos="284"/>
        </w:tabs>
        <w:spacing w:line="276" w:lineRule="auto"/>
        <w:jc w:val="center"/>
        <w:rPr>
          <w:b/>
          <w:sz w:val="22"/>
          <w:szCs w:val="22"/>
        </w:rPr>
      </w:pPr>
      <w:r>
        <w:rPr>
          <w:b/>
          <w:sz w:val="22"/>
          <w:szCs w:val="22"/>
        </w:rPr>
        <w:t>PROYE</w:t>
      </w:r>
      <w:r w:rsidR="005B47AA">
        <w:rPr>
          <w:b/>
          <w:sz w:val="22"/>
          <w:szCs w:val="22"/>
        </w:rPr>
        <w:t>CTO DE ACUERDO N°        DE 2025</w:t>
      </w:r>
    </w:p>
    <w:p w14:paraId="65211DC9" w14:textId="77777777" w:rsidR="00241785" w:rsidRDefault="00241785">
      <w:pPr>
        <w:tabs>
          <w:tab w:val="left" w:pos="284"/>
        </w:tabs>
        <w:spacing w:line="276" w:lineRule="auto"/>
        <w:jc w:val="center"/>
        <w:rPr>
          <w:b/>
          <w:sz w:val="22"/>
          <w:szCs w:val="22"/>
        </w:rPr>
      </w:pPr>
    </w:p>
    <w:p w14:paraId="4280A513" w14:textId="22612677" w:rsidR="00241785" w:rsidRDefault="00C72DE6">
      <w:pPr>
        <w:pBdr>
          <w:top w:val="nil"/>
          <w:left w:val="nil"/>
          <w:bottom w:val="nil"/>
          <w:right w:val="nil"/>
          <w:between w:val="nil"/>
        </w:pBdr>
        <w:tabs>
          <w:tab w:val="left" w:pos="284"/>
        </w:tabs>
        <w:spacing w:line="276" w:lineRule="auto"/>
        <w:jc w:val="center"/>
        <w:rPr>
          <w:b/>
          <w:sz w:val="22"/>
          <w:szCs w:val="22"/>
        </w:rPr>
      </w:pPr>
      <w:r>
        <w:rPr>
          <w:b/>
          <w:sz w:val="22"/>
          <w:szCs w:val="22"/>
        </w:rPr>
        <w:t xml:space="preserve">“Por medio del cual se institucionaliza la “Expo Restrepo” como un evento insignia del sector cuero, calzado, marroquinería y afines </w:t>
      </w:r>
      <w:r w:rsidR="0017494F">
        <w:rPr>
          <w:b/>
          <w:sz w:val="22"/>
          <w:szCs w:val="22"/>
        </w:rPr>
        <w:t>del</w:t>
      </w:r>
      <w:r>
        <w:rPr>
          <w:b/>
          <w:sz w:val="22"/>
          <w:szCs w:val="22"/>
        </w:rPr>
        <w:t xml:space="preserve"> Distrito Capital, y se dictan otras disposiciones.” </w:t>
      </w:r>
    </w:p>
    <w:p w14:paraId="5C49A9CF" w14:textId="77777777" w:rsidR="00241785" w:rsidRDefault="00241785">
      <w:pPr>
        <w:pBdr>
          <w:top w:val="nil"/>
          <w:left w:val="nil"/>
          <w:bottom w:val="nil"/>
          <w:right w:val="nil"/>
          <w:between w:val="nil"/>
        </w:pBdr>
        <w:tabs>
          <w:tab w:val="left" w:pos="284"/>
        </w:tabs>
        <w:spacing w:line="276" w:lineRule="auto"/>
        <w:jc w:val="center"/>
        <w:rPr>
          <w:b/>
          <w:sz w:val="22"/>
          <w:szCs w:val="22"/>
        </w:rPr>
      </w:pPr>
    </w:p>
    <w:p w14:paraId="11045739" w14:textId="77777777" w:rsidR="00241785" w:rsidRDefault="00241785">
      <w:pPr>
        <w:pBdr>
          <w:top w:val="nil"/>
          <w:left w:val="nil"/>
          <w:bottom w:val="nil"/>
          <w:right w:val="nil"/>
          <w:between w:val="nil"/>
        </w:pBdr>
        <w:tabs>
          <w:tab w:val="left" w:pos="284"/>
        </w:tabs>
        <w:spacing w:line="276" w:lineRule="auto"/>
        <w:jc w:val="center"/>
        <w:rPr>
          <w:b/>
          <w:sz w:val="22"/>
          <w:szCs w:val="22"/>
        </w:rPr>
      </w:pPr>
    </w:p>
    <w:p w14:paraId="6E92E432" w14:textId="77777777" w:rsidR="00241785" w:rsidRDefault="00C72DE6">
      <w:pPr>
        <w:tabs>
          <w:tab w:val="left" w:pos="284"/>
        </w:tabs>
        <w:spacing w:line="276" w:lineRule="auto"/>
        <w:jc w:val="center"/>
        <w:rPr>
          <w:b/>
          <w:sz w:val="22"/>
          <w:szCs w:val="22"/>
        </w:rPr>
      </w:pPr>
      <w:r>
        <w:rPr>
          <w:b/>
          <w:sz w:val="22"/>
          <w:szCs w:val="22"/>
        </w:rPr>
        <w:t>EL CONCEJO DE BOGOTÁ</w:t>
      </w:r>
    </w:p>
    <w:p w14:paraId="14493EBD" w14:textId="77777777" w:rsidR="00241785" w:rsidRDefault="00C72DE6">
      <w:pPr>
        <w:tabs>
          <w:tab w:val="left" w:pos="284"/>
        </w:tabs>
        <w:spacing w:line="276" w:lineRule="auto"/>
        <w:jc w:val="center"/>
        <w:rPr>
          <w:sz w:val="22"/>
          <w:szCs w:val="22"/>
          <w:highlight w:val="white"/>
        </w:rPr>
      </w:pPr>
      <w:r>
        <w:rPr>
          <w:sz w:val="22"/>
          <w:szCs w:val="22"/>
          <w:highlight w:val="white"/>
        </w:rPr>
        <w:t>En uso de sus facultades constitucionales y legales, en particular las conferidas por los Artículos 313 y 322 de la Constitución Política y el numeral 1 del Artículo 12 del Decreto Ley 1421 de 1993 y los artículos 5 y 338 de la Ley 1341 de 2009</w:t>
      </w:r>
    </w:p>
    <w:p w14:paraId="58F893C7" w14:textId="77777777" w:rsidR="00241785" w:rsidRDefault="00241785">
      <w:pPr>
        <w:tabs>
          <w:tab w:val="left" w:pos="284"/>
        </w:tabs>
        <w:spacing w:line="276" w:lineRule="auto"/>
        <w:jc w:val="center"/>
        <w:rPr>
          <w:sz w:val="22"/>
          <w:szCs w:val="22"/>
          <w:highlight w:val="white"/>
        </w:rPr>
      </w:pPr>
    </w:p>
    <w:p w14:paraId="534A1F32" w14:textId="77777777" w:rsidR="00241785" w:rsidRDefault="00C72DE6">
      <w:pPr>
        <w:tabs>
          <w:tab w:val="left" w:pos="284"/>
        </w:tabs>
        <w:spacing w:line="276" w:lineRule="auto"/>
        <w:jc w:val="center"/>
        <w:rPr>
          <w:b/>
          <w:sz w:val="22"/>
          <w:szCs w:val="22"/>
        </w:rPr>
      </w:pPr>
      <w:r>
        <w:rPr>
          <w:b/>
          <w:sz w:val="22"/>
          <w:szCs w:val="22"/>
        </w:rPr>
        <w:t>A C U E R D A:</w:t>
      </w:r>
    </w:p>
    <w:p w14:paraId="5D9B9C33" w14:textId="77777777" w:rsidR="00241785" w:rsidRDefault="00241785">
      <w:pPr>
        <w:tabs>
          <w:tab w:val="left" w:pos="284"/>
        </w:tabs>
        <w:spacing w:line="276" w:lineRule="auto"/>
        <w:jc w:val="center"/>
        <w:rPr>
          <w:b/>
          <w:sz w:val="22"/>
          <w:szCs w:val="22"/>
        </w:rPr>
      </w:pPr>
    </w:p>
    <w:p w14:paraId="35C444F8" w14:textId="77777777" w:rsidR="00241785" w:rsidRDefault="00C72DE6">
      <w:pPr>
        <w:tabs>
          <w:tab w:val="left" w:pos="284"/>
        </w:tabs>
        <w:spacing w:line="276" w:lineRule="auto"/>
        <w:jc w:val="both"/>
        <w:rPr>
          <w:sz w:val="22"/>
          <w:szCs w:val="22"/>
          <w:highlight w:val="white"/>
        </w:rPr>
      </w:pPr>
      <w:r>
        <w:rPr>
          <w:b/>
          <w:sz w:val="22"/>
          <w:szCs w:val="22"/>
          <w:highlight w:val="white"/>
        </w:rPr>
        <w:t xml:space="preserve">ARTÍCULO 1. OBJETO. </w:t>
      </w:r>
      <w:r>
        <w:rPr>
          <w:sz w:val="22"/>
          <w:szCs w:val="22"/>
          <w:highlight w:val="white"/>
        </w:rPr>
        <w:t xml:space="preserve">El presente Acuerdo tiene por objeto Institucionalizar la “Expo Restrepo” </w:t>
      </w:r>
      <w:r>
        <w:rPr>
          <w:sz w:val="22"/>
          <w:szCs w:val="22"/>
        </w:rPr>
        <w:t xml:space="preserve">como un evento insignia del sector cuero, calzado, marroquinería y afines en el Distrito Capital, el cual se realizará anualmente en el Parque de la 93 durante el mes de noviembre. </w:t>
      </w:r>
    </w:p>
    <w:p w14:paraId="45969BE9" w14:textId="77777777" w:rsidR="00241785" w:rsidRDefault="00241785">
      <w:pPr>
        <w:tabs>
          <w:tab w:val="left" w:pos="284"/>
        </w:tabs>
        <w:spacing w:line="276" w:lineRule="auto"/>
        <w:jc w:val="both"/>
        <w:rPr>
          <w:sz w:val="22"/>
          <w:szCs w:val="22"/>
          <w:highlight w:val="white"/>
        </w:rPr>
      </w:pPr>
    </w:p>
    <w:p w14:paraId="3DE80DDD" w14:textId="77777777" w:rsidR="00241785" w:rsidRDefault="00C72DE6">
      <w:pPr>
        <w:tabs>
          <w:tab w:val="left" w:pos="284"/>
        </w:tabs>
        <w:spacing w:line="276" w:lineRule="auto"/>
        <w:jc w:val="both"/>
        <w:rPr>
          <w:sz w:val="22"/>
          <w:szCs w:val="22"/>
          <w:highlight w:val="white"/>
        </w:rPr>
      </w:pPr>
      <w:r>
        <w:rPr>
          <w:b/>
          <w:sz w:val="22"/>
          <w:szCs w:val="22"/>
          <w:highlight w:val="white"/>
        </w:rPr>
        <w:t xml:space="preserve">ARTÍCULO 2. OBJETIVOS. </w:t>
      </w:r>
      <w:r>
        <w:rPr>
          <w:sz w:val="22"/>
          <w:szCs w:val="22"/>
          <w:highlight w:val="white"/>
        </w:rPr>
        <w:t>La feria “Expo Restrepo” tendrá como objetivos:</w:t>
      </w:r>
    </w:p>
    <w:p w14:paraId="0A68B76C" w14:textId="77777777" w:rsidR="00241785" w:rsidRDefault="00C72DE6">
      <w:pPr>
        <w:numPr>
          <w:ilvl w:val="0"/>
          <w:numId w:val="3"/>
        </w:numPr>
        <w:tabs>
          <w:tab w:val="left" w:pos="284"/>
        </w:tabs>
        <w:spacing w:before="240" w:line="276" w:lineRule="auto"/>
        <w:jc w:val="both"/>
        <w:rPr>
          <w:sz w:val="22"/>
          <w:szCs w:val="22"/>
          <w:highlight w:val="white"/>
        </w:rPr>
      </w:pPr>
      <w:r>
        <w:rPr>
          <w:sz w:val="22"/>
          <w:szCs w:val="22"/>
          <w:highlight w:val="white"/>
        </w:rPr>
        <w:t>Promover el desarrollo económico de los empresarios del sector cuero, calzado, marroquinería y afines, con énfasis en su visibilización y fortalecimiento.</w:t>
      </w:r>
    </w:p>
    <w:p w14:paraId="6E515F6E" w14:textId="5836B9B8" w:rsidR="00241785" w:rsidRDefault="00C72DE6" w:rsidP="0042124A">
      <w:pPr>
        <w:numPr>
          <w:ilvl w:val="0"/>
          <w:numId w:val="3"/>
        </w:numPr>
        <w:tabs>
          <w:tab w:val="left" w:pos="284"/>
          <w:tab w:val="left" w:pos="3828"/>
        </w:tabs>
        <w:spacing w:line="276" w:lineRule="auto"/>
        <w:jc w:val="both"/>
        <w:rPr>
          <w:sz w:val="22"/>
          <w:szCs w:val="22"/>
          <w:highlight w:val="white"/>
        </w:rPr>
      </w:pPr>
      <w:r>
        <w:rPr>
          <w:sz w:val="22"/>
          <w:szCs w:val="22"/>
          <w:highlight w:val="white"/>
        </w:rPr>
        <w:t>Generar espacios de comercialización e innovación para los productos de este sector estratégico</w:t>
      </w:r>
      <w:r w:rsidR="0042124A">
        <w:rPr>
          <w:sz w:val="22"/>
          <w:szCs w:val="22"/>
          <w:highlight w:val="white"/>
        </w:rPr>
        <w:t>.</w:t>
      </w:r>
    </w:p>
    <w:p w14:paraId="42C6FDD1" w14:textId="77777777" w:rsidR="00241785" w:rsidRDefault="00C72DE6">
      <w:pPr>
        <w:numPr>
          <w:ilvl w:val="0"/>
          <w:numId w:val="3"/>
        </w:numPr>
        <w:tabs>
          <w:tab w:val="left" w:pos="284"/>
        </w:tabs>
        <w:spacing w:after="240" w:line="276" w:lineRule="auto"/>
        <w:jc w:val="both"/>
        <w:rPr>
          <w:sz w:val="22"/>
          <w:szCs w:val="22"/>
          <w:highlight w:val="white"/>
        </w:rPr>
      </w:pPr>
      <w:r>
        <w:rPr>
          <w:sz w:val="22"/>
          <w:szCs w:val="22"/>
          <w:highlight w:val="white"/>
        </w:rPr>
        <w:t>Difundir la riqueza cultural y artesanal asociada a estas actividades, fortaleciendo su tradición y posicionamiento a nivel distrital y nacional.</w:t>
      </w:r>
    </w:p>
    <w:p w14:paraId="67040255" w14:textId="77777777" w:rsidR="00241785" w:rsidRDefault="00C72DE6">
      <w:pPr>
        <w:tabs>
          <w:tab w:val="left" w:pos="284"/>
        </w:tabs>
        <w:spacing w:before="240" w:after="240" w:line="276" w:lineRule="auto"/>
        <w:jc w:val="both"/>
        <w:rPr>
          <w:sz w:val="22"/>
          <w:szCs w:val="22"/>
          <w:highlight w:val="white"/>
        </w:rPr>
      </w:pPr>
      <w:r>
        <w:rPr>
          <w:b/>
          <w:sz w:val="22"/>
          <w:szCs w:val="22"/>
          <w:highlight w:val="white"/>
        </w:rPr>
        <w:t>ARTÍCULO 3. COORDINACIÓN.</w:t>
      </w:r>
      <w:r>
        <w:rPr>
          <w:sz w:val="22"/>
          <w:szCs w:val="22"/>
          <w:highlight w:val="white"/>
        </w:rPr>
        <w:t xml:space="preserve"> La Secretaría Distrital de Desarrollo Económico será la entidad responsable de la coordinación, planificación y promoción de la “Expo Restrepo”, como un evento insignia del sector cuero, calzado, marroquinería y afines. </w:t>
      </w:r>
    </w:p>
    <w:p w14:paraId="1FDA54B1" w14:textId="77777777" w:rsidR="00241785" w:rsidRDefault="00C72DE6">
      <w:pPr>
        <w:tabs>
          <w:tab w:val="left" w:pos="284"/>
        </w:tabs>
        <w:spacing w:before="240" w:after="240" w:line="276" w:lineRule="auto"/>
        <w:jc w:val="both"/>
        <w:rPr>
          <w:sz w:val="22"/>
          <w:szCs w:val="22"/>
          <w:highlight w:val="white"/>
        </w:rPr>
      </w:pPr>
      <w:r>
        <w:rPr>
          <w:sz w:val="22"/>
          <w:szCs w:val="22"/>
          <w:highlight w:val="white"/>
        </w:rPr>
        <w:t>Esta labor se realizará en articulación con:</w:t>
      </w:r>
    </w:p>
    <w:p w14:paraId="15EFCDAA" w14:textId="77777777" w:rsidR="00241785" w:rsidRDefault="00C72DE6">
      <w:pPr>
        <w:numPr>
          <w:ilvl w:val="0"/>
          <w:numId w:val="1"/>
        </w:numPr>
        <w:tabs>
          <w:tab w:val="left" w:pos="284"/>
        </w:tabs>
        <w:spacing w:before="240" w:line="276" w:lineRule="auto"/>
        <w:rPr>
          <w:sz w:val="22"/>
          <w:szCs w:val="22"/>
          <w:highlight w:val="white"/>
        </w:rPr>
      </w:pPr>
      <w:r>
        <w:rPr>
          <w:sz w:val="22"/>
          <w:szCs w:val="22"/>
          <w:highlight w:val="white"/>
        </w:rPr>
        <w:t>La Secretaría de Cultura, Recreación y Deporte</w:t>
      </w:r>
    </w:p>
    <w:p w14:paraId="2BB1B18D" w14:textId="467F9CBD" w:rsidR="00241785" w:rsidRDefault="00C72DE6">
      <w:pPr>
        <w:numPr>
          <w:ilvl w:val="0"/>
          <w:numId w:val="1"/>
        </w:numPr>
        <w:tabs>
          <w:tab w:val="left" w:pos="284"/>
        </w:tabs>
        <w:spacing w:line="276" w:lineRule="auto"/>
        <w:rPr>
          <w:sz w:val="22"/>
          <w:szCs w:val="22"/>
          <w:highlight w:val="white"/>
        </w:rPr>
      </w:pPr>
      <w:r>
        <w:rPr>
          <w:sz w:val="22"/>
          <w:szCs w:val="22"/>
          <w:highlight w:val="white"/>
        </w:rPr>
        <w:t>La Secretaría de Gobierno</w:t>
      </w:r>
    </w:p>
    <w:p w14:paraId="5AF529F0" w14:textId="77777777" w:rsidR="00241785" w:rsidRDefault="00C72DE6">
      <w:pPr>
        <w:numPr>
          <w:ilvl w:val="0"/>
          <w:numId w:val="1"/>
        </w:numPr>
        <w:tabs>
          <w:tab w:val="left" w:pos="284"/>
        </w:tabs>
        <w:spacing w:line="276" w:lineRule="auto"/>
        <w:rPr>
          <w:sz w:val="22"/>
          <w:szCs w:val="22"/>
          <w:highlight w:val="white"/>
        </w:rPr>
      </w:pPr>
      <w:r>
        <w:rPr>
          <w:sz w:val="22"/>
          <w:szCs w:val="22"/>
          <w:highlight w:val="white"/>
        </w:rPr>
        <w:t>La Alcaldía Local de Antonio Nariño</w:t>
      </w:r>
    </w:p>
    <w:p w14:paraId="0A56D37A" w14:textId="3273252D" w:rsidR="00241785" w:rsidRDefault="00C72DE6">
      <w:pPr>
        <w:numPr>
          <w:ilvl w:val="0"/>
          <w:numId w:val="1"/>
        </w:numPr>
        <w:tabs>
          <w:tab w:val="left" w:pos="284"/>
        </w:tabs>
        <w:spacing w:line="276" w:lineRule="auto"/>
        <w:rPr>
          <w:sz w:val="22"/>
          <w:szCs w:val="22"/>
          <w:highlight w:val="white"/>
        </w:rPr>
      </w:pPr>
      <w:r>
        <w:rPr>
          <w:sz w:val="22"/>
          <w:szCs w:val="22"/>
          <w:highlight w:val="white"/>
        </w:rPr>
        <w:t>Las asociaciones de comerciantes y emprendedores de la localidad de Antonio Nariño, en especial del barrio Restrepo</w:t>
      </w:r>
    </w:p>
    <w:p w14:paraId="3FFBA964" w14:textId="06660AFD" w:rsidR="00241785" w:rsidRDefault="00C72DE6">
      <w:pPr>
        <w:numPr>
          <w:ilvl w:val="0"/>
          <w:numId w:val="1"/>
        </w:numPr>
        <w:tabs>
          <w:tab w:val="left" w:pos="284"/>
        </w:tabs>
        <w:spacing w:after="240" w:line="276" w:lineRule="auto"/>
        <w:rPr>
          <w:sz w:val="22"/>
          <w:szCs w:val="22"/>
          <w:highlight w:val="white"/>
        </w:rPr>
      </w:pPr>
      <w:r>
        <w:rPr>
          <w:sz w:val="22"/>
          <w:szCs w:val="22"/>
          <w:highlight w:val="white"/>
        </w:rPr>
        <w:t xml:space="preserve">Demás instituciones públicas y privadas que promuevan el desarrollo económico del sector </w:t>
      </w:r>
    </w:p>
    <w:p w14:paraId="349E3267" w14:textId="02BC31A9" w:rsidR="00241785" w:rsidRDefault="00C72DE6">
      <w:pPr>
        <w:tabs>
          <w:tab w:val="left" w:pos="284"/>
        </w:tabs>
        <w:spacing w:before="240" w:after="240" w:line="276" w:lineRule="auto"/>
        <w:jc w:val="both"/>
        <w:rPr>
          <w:sz w:val="22"/>
          <w:szCs w:val="22"/>
          <w:highlight w:val="white"/>
        </w:rPr>
      </w:pPr>
      <w:r>
        <w:rPr>
          <w:b/>
          <w:sz w:val="22"/>
          <w:szCs w:val="22"/>
          <w:highlight w:val="white"/>
        </w:rPr>
        <w:t xml:space="preserve">ARTÍCULO 4. EVALUACIÓN Y SEGUIMIENTO. </w:t>
      </w:r>
      <w:r>
        <w:rPr>
          <w:sz w:val="22"/>
          <w:szCs w:val="22"/>
          <w:highlight w:val="white"/>
        </w:rPr>
        <w:t xml:space="preserve">La Secretaría Distrital de Desarrollo Económico, en conjunto con las entidades participantes, deberá presentar un informe anual al Concejo de Bogotá sobre los resultados, </w:t>
      </w:r>
      <w:r w:rsidR="00322D7C">
        <w:rPr>
          <w:sz w:val="22"/>
          <w:szCs w:val="22"/>
          <w:highlight w:val="white"/>
        </w:rPr>
        <w:t>impactos, beneficios</w:t>
      </w:r>
      <w:r w:rsidR="00666E24">
        <w:rPr>
          <w:sz w:val="22"/>
          <w:szCs w:val="22"/>
          <w:highlight w:val="white"/>
        </w:rPr>
        <w:t xml:space="preserve"> para los comerciantes </w:t>
      </w:r>
      <w:r>
        <w:rPr>
          <w:sz w:val="22"/>
          <w:szCs w:val="22"/>
          <w:highlight w:val="white"/>
        </w:rPr>
        <w:t>y retos del evento “Expo Restrepo”, con el fin de garantizar su sostenibilidad y mejora continua.</w:t>
      </w:r>
    </w:p>
    <w:p w14:paraId="3400616D" w14:textId="77777777" w:rsidR="00241785" w:rsidRDefault="00C72DE6">
      <w:pPr>
        <w:tabs>
          <w:tab w:val="left" w:pos="284"/>
        </w:tabs>
        <w:spacing w:before="240" w:after="240" w:line="276" w:lineRule="auto"/>
        <w:jc w:val="both"/>
        <w:rPr>
          <w:sz w:val="22"/>
          <w:szCs w:val="22"/>
          <w:highlight w:val="white"/>
        </w:rPr>
      </w:pPr>
      <w:r>
        <w:rPr>
          <w:b/>
          <w:sz w:val="22"/>
          <w:szCs w:val="22"/>
          <w:highlight w:val="white"/>
        </w:rPr>
        <w:t>ARTÍCULO 5. FINANCIACIÓN.</w:t>
      </w:r>
      <w:r>
        <w:rPr>
          <w:sz w:val="22"/>
          <w:szCs w:val="22"/>
          <w:highlight w:val="white"/>
        </w:rPr>
        <w:t xml:space="preserve"> La administración distrital asignará los recursos necesarios para la realización de la “Expo Restrepo” en el marco del presupuesto general del Distrito Capital, sin perjuicio de la posibilidad de gestionar alianzas público-privadas y recursos de cooperación nacional e internacional.</w:t>
      </w:r>
    </w:p>
    <w:p w14:paraId="0DA65B6E" w14:textId="77777777" w:rsidR="00241785" w:rsidRDefault="00C72DE6">
      <w:pPr>
        <w:tabs>
          <w:tab w:val="left" w:pos="284"/>
        </w:tabs>
        <w:spacing w:before="280" w:line="276" w:lineRule="auto"/>
        <w:jc w:val="both"/>
        <w:rPr>
          <w:sz w:val="22"/>
          <w:szCs w:val="22"/>
          <w:highlight w:val="white"/>
        </w:rPr>
      </w:pPr>
      <w:r>
        <w:rPr>
          <w:b/>
          <w:sz w:val="22"/>
          <w:szCs w:val="22"/>
          <w:highlight w:val="white"/>
        </w:rPr>
        <w:t>ARTÍCULO 6. VIGENCIA:</w:t>
      </w:r>
      <w:r>
        <w:rPr>
          <w:sz w:val="22"/>
          <w:szCs w:val="22"/>
          <w:highlight w:val="white"/>
        </w:rPr>
        <w:t xml:space="preserve"> El presente Acuerdo rige a partir de su publicación y deroga las disposiciones que le sean contrarias.</w:t>
      </w:r>
    </w:p>
    <w:p w14:paraId="420E53B7" w14:textId="77777777" w:rsidR="00241785" w:rsidRDefault="00241785">
      <w:pPr>
        <w:tabs>
          <w:tab w:val="left" w:pos="284"/>
        </w:tabs>
        <w:spacing w:line="276" w:lineRule="auto"/>
        <w:rPr>
          <w:sz w:val="22"/>
          <w:szCs w:val="22"/>
        </w:rPr>
      </w:pPr>
    </w:p>
    <w:sectPr w:rsidR="00241785">
      <w:headerReference w:type="default" r:id="rId16"/>
      <w:pgSz w:w="12240" w:h="15840"/>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20ED3B" w14:textId="77777777" w:rsidR="00C72DE6" w:rsidRDefault="00C72DE6">
      <w:r>
        <w:separator/>
      </w:r>
    </w:p>
  </w:endnote>
  <w:endnote w:type="continuationSeparator" w:id="0">
    <w:p w14:paraId="4D295E1B" w14:textId="77777777" w:rsidR="00C72DE6" w:rsidRDefault="00C72D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OpenSymbol">
    <w:panose1 w:val="00000000000000000000"/>
    <w:charset w:val="00"/>
    <w:family w:val="roman"/>
    <w:notTrueType/>
    <w:pitch w:val="default"/>
  </w:font>
  <w:font w:name="FreeSans">
    <w:panose1 w:val="00000000000000000000"/>
    <w:charset w:val="00"/>
    <w:family w:val="roman"/>
    <w:notTrueType/>
    <w:pitch w:val="default"/>
  </w:font>
  <w:font w:name="Liberation Sans">
    <w:altName w:val="Arial"/>
    <w:charset w:val="00"/>
    <w:family w:val="auto"/>
    <w:pitch w:val="default"/>
  </w:font>
  <w:font w:name="Droid Sans Fallback">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¹Å">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18D1B0" w14:textId="77777777" w:rsidR="00C72DE6" w:rsidRDefault="00C72DE6">
      <w:r>
        <w:separator/>
      </w:r>
    </w:p>
  </w:footnote>
  <w:footnote w:type="continuationSeparator" w:id="0">
    <w:p w14:paraId="051DC8E0" w14:textId="77777777" w:rsidR="00C72DE6" w:rsidRDefault="00C72DE6">
      <w:r>
        <w:continuationSeparator/>
      </w:r>
    </w:p>
  </w:footnote>
  <w:footnote w:id="1">
    <w:p w14:paraId="3355AEDF" w14:textId="77777777" w:rsidR="00241785" w:rsidRDefault="00C72DE6">
      <w:pPr>
        <w:rPr>
          <w:sz w:val="20"/>
          <w:szCs w:val="20"/>
        </w:rPr>
      </w:pPr>
      <w:r>
        <w:rPr>
          <w:vertAlign w:val="superscript"/>
        </w:rPr>
        <w:footnoteRef/>
      </w:r>
      <w:r>
        <w:rPr>
          <w:sz w:val="20"/>
          <w:szCs w:val="20"/>
        </w:rPr>
        <w:t xml:space="preserve"> </w:t>
      </w:r>
      <w:hyperlink r:id="rId1">
        <w:r>
          <w:rPr>
            <w:color w:val="1155CC"/>
            <w:sz w:val="20"/>
            <w:szCs w:val="20"/>
            <w:u w:val="single"/>
          </w:rPr>
          <w:t>https://www.dane.gov.co/files/operaciones/PIB/bol-PIB-IIItrim2024.pdf</w:t>
        </w:r>
      </w:hyperlink>
      <w:r>
        <w:rPr>
          <w:sz w:val="20"/>
          <w:szCs w:val="20"/>
        </w:rPr>
        <w:t xml:space="preserve"> </w:t>
      </w:r>
    </w:p>
  </w:footnote>
  <w:footnote w:id="2">
    <w:p w14:paraId="79226917" w14:textId="77777777" w:rsidR="00241785" w:rsidRDefault="00C72DE6">
      <w:pPr>
        <w:rPr>
          <w:sz w:val="20"/>
          <w:szCs w:val="20"/>
        </w:rPr>
      </w:pPr>
      <w:r>
        <w:rPr>
          <w:vertAlign w:val="superscript"/>
        </w:rPr>
        <w:footnoteRef/>
      </w:r>
      <w:r>
        <w:rPr>
          <w:sz w:val="20"/>
          <w:szCs w:val="20"/>
        </w:rPr>
        <w:t xml:space="preserve"> </w:t>
      </w:r>
      <w:hyperlink r:id="rId2">
        <w:r>
          <w:rPr>
            <w:color w:val="1155CC"/>
            <w:sz w:val="20"/>
            <w:szCs w:val="20"/>
            <w:u w:val="single"/>
          </w:rPr>
          <w:t>https://www.dane.gov.co/index.php/estadisticas-por-tema/comercio-interno/encuesta-mensual-de-comercio-emc</w:t>
        </w:r>
      </w:hyperlink>
    </w:p>
  </w:footnote>
  <w:footnote w:id="3">
    <w:p w14:paraId="38268D85" w14:textId="77777777" w:rsidR="00241785" w:rsidRDefault="00C72DE6">
      <w:pPr>
        <w:rPr>
          <w:sz w:val="20"/>
          <w:szCs w:val="20"/>
        </w:rPr>
      </w:pPr>
      <w:r>
        <w:rPr>
          <w:vertAlign w:val="superscript"/>
        </w:rPr>
        <w:footnoteRef/>
      </w:r>
      <w:r>
        <w:rPr>
          <w:sz w:val="20"/>
          <w:szCs w:val="20"/>
        </w:rPr>
        <w:t xml:space="preserve"> </w:t>
      </w:r>
      <w:hyperlink r:id="rId3">
        <w:r>
          <w:rPr>
            <w:color w:val="1155CC"/>
            <w:sz w:val="20"/>
            <w:szCs w:val="20"/>
            <w:u w:val="single"/>
          </w:rPr>
          <w:t>https://www.portafolio.co/negocios/industrias/la-informalidad-es-el-principal-problema-del-sector-acicam-608903</w:t>
        </w:r>
      </w:hyperlink>
      <w:r>
        <w:rPr>
          <w:sz w:val="20"/>
          <w:szCs w:val="20"/>
        </w:rPr>
        <w:t xml:space="preserve"> </w:t>
      </w:r>
    </w:p>
  </w:footnote>
  <w:footnote w:id="4">
    <w:p w14:paraId="3A0FEC07" w14:textId="77777777" w:rsidR="00241785" w:rsidRDefault="00C72DE6">
      <w:pPr>
        <w:rPr>
          <w:sz w:val="20"/>
          <w:szCs w:val="20"/>
        </w:rPr>
      </w:pPr>
      <w:r>
        <w:rPr>
          <w:vertAlign w:val="superscript"/>
        </w:rPr>
        <w:footnoteRef/>
      </w:r>
      <w:r>
        <w:rPr>
          <w:sz w:val="20"/>
          <w:szCs w:val="20"/>
        </w:rPr>
        <w:t xml:space="preserve"> </w:t>
      </w:r>
      <w:hyperlink r:id="rId4">
        <w:r>
          <w:rPr>
            <w:color w:val="1155CC"/>
            <w:sz w:val="20"/>
            <w:szCs w:val="20"/>
            <w:u w:val="single"/>
          </w:rPr>
          <w:t>https://www.larepublica.co/empresas/cada-ano-se-calcula-que-un-colombiano-compra-en-promedio-dos-pares-de-zapatos-3909844</w:t>
        </w:r>
      </w:hyperlink>
      <w:r>
        <w:rPr>
          <w:sz w:val="20"/>
          <w:szCs w:val="20"/>
        </w:rPr>
        <w:t xml:space="preserve"> </w:t>
      </w:r>
    </w:p>
  </w:footnote>
  <w:footnote w:id="5">
    <w:p w14:paraId="0FDE91AD" w14:textId="77777777" w:rsidR="00241785" w:rsidRDefault="00C72DE6">
      <w:pPr>
        <w:rPr>
          <w:sz w:val="20"/>
          <w:szCs w:val="20"/>
        </w:rPr>
      </w:pPr>
      <w:r>
        <w:rPr>
          <w:vertAlign w:val="superscript"/>
        </w:rPr>
        <w:footnoteRef/>
      </w:r>
      <w:r>
        <w:rPr>
          <w:sz w:val="20"/>
          <w:szCs w:val="20"/>
        </w:rPr>
        <w:t xml:space="preserve"> </w:t>
      </w:r>
      <w:hyperlink r:id="rId5">
        <w:r>
          <w:rPr>
            <w:color w:val="1155CC"/>
            <w:sz w:val="20"/>
            <w:szCs w:val="20"/>
            <w:u w:val="single"/>
          </w:rPr>
          <w:t>https://bibliotecadigital.ccb.org.co/items/bacb5cee-0b74-41af-8223-f1bf31eef1e3</w:t>
        </w:r>
      </w:hyperlink>
      <w:r>
        <w:rPr>
          <w:sz w:val="20"/>
          <w:szCs w:val="20"/>
        </w:rPr>
        <w:t xml:space="preserve"> </w:t>
      </w:r>
    </w:p>
  </w:footnote>
  <w:footnote w:id="6">
    <w:p w14:paraId="6887581C" w14:textId="77777777" w:rsidR="00241785" w:rsidRDefault="00C72DE6">
      <w:pPr>
        <w:rPr>
          <w:sz w:val="20"/>
          <w:szCs w:val="20"/>
        </w:rPr>
      </w:pPr>
      <w:r>
        <w:rPr>
          <w:vertAlign w:val="superscript"/>
        </w:rPr>
        <w:footnoteRef/>
      </w:r>
      <w:r>
        <w:rPr>
          <w:sz w:val="20"/>
          <w:szCs w:val="20"/>
        </w:rPr>
        <w:t xml:space="preserve"> </w:t>
      </w:r>
      <w:hyperlink r:id="rId6">
        <w:r>
          <w:rPr>
            <w:color w:val="1155CC"/>
            <w:sz w:val="20"/>
            <w:szCs w:val="20"/>
            <w:u w:val="single"/>
          </w:rPr>
          <w:t>https://old.integracionsocial.gov.co/anexos/documentos/1_entidad/gsi/15_antonio_narino_lectura_de_realidades_restrepo_social.pdf</w:t>
        </w:r>
      </w:hyperlink>
    </w:p>
  </w:footnote>
  <w:footnote w:id="7">
    <w:p w14:paraId="2B4C2834" w14:textId="77777777" w:rsidR="00241785" w:rsidRDefault="00C72DE6">
      <w:pPr>
        <w:rPr>
          <w:sz w:val="20"/>
          <w:szCs w:val="20"/>
        </w:rPr>
      </w:pPr>
      <w:r>
        <w:rPr>
          <w:vertAlign w:val="superscript"/>
        </w:rPr>
        <w:footnoteRef/>
      </w:r>
      <w:r>
        <w:rPr>
          <w:sz w:val="20"/>
          <w:szCs w:val="20"/>
        </w:rPr>
        <w:t xml:space="preserve"> </w:t>
      </w:r>
      <w:hyperlink r:id="rId7">
        <w:r>
          <w:rPr>
            <w:color w:val="1155CC"/>
            <w:sz w:val="20"/>
            <w:szCs w:val="20"/>
            <w:u w:val="single"/>
          </w:rPr>
          <w:t>https://www.idiger.gov.co/documents/220605/1442764/Identificaci%C3%B3n+y+priorizaci%C3%B3n+.pdf/d0dc38d4-596b-4011-b11e-7e332b652f61</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F99687" w14:textId="77777777" w:rsidR="00241785" w:rsidRDefault="00241785">
    <w:pPr>
      <w:widowControl w:val="0"/>
      <w:pBdr>
        <w:top w:val="nil"/>
        <w:left w:val="nil"/>
        <w:bottom w:val="nil"/>
        <w:right w:val="nil"/>
        <w:between w:val="nil"/>
      </w:pBdr>
      <w:spacing w:line="276" w:lineRule="auto"/>
    </w:pPr>
  </w:p>
  <w:tbl>
    <w:tblPr>
      <w:tblStyle w:val="a2"/>
      <w:tblW w:w="8848" w:type="dxa"/>
      <w:tblInd w:w="-20" w:type="dxa"/>
      <w:tblBorders>
        <w:top w:val="single" w:sz="4" w:space="0" w:color="00000A"/>
        <w:left w:val="single" w:sz="4" w:space="0" w:color="00000A"/>
        <w:bottom w:val="nil"/>
        <w:right w:val="single" w:sz="4" w:space="0" w:color="00000A"/>
        <w:insideH w:val="nil"/>
        <w:insideV w:val="single" w:sz="4" w:space="0" w:color="00000A"/>
      </w:tblBorders>
      <w:tblLayout w:type="fixed"/>
      <w:tblLook w:val="0400" w:firstRow="0" w:lastRow="0" w:firstColumn="0" w:lastColumn="0" w:noHBand="0" w:noVBand="1"/>
    </w:tblPr>
    <w:tblGrid>
      <w:gridCol w:w="2356"/>
      <w:gridCol w:w="4245"/>
      <w:gridCol w:w="2247"/>
    </w:tblGrid>
    <w:tr w:rsidR="00241785" w14:paraId="3AD7F521" w14:textId="77777777">
      <w:trPr>
        <w:trHeight w:val="557"/>
      </w:trPr>
      <w:tc>
        <w:tcPr>
          <w:tcW w:w="2356" w:type="dxa"/>
          <w:vMerge w:val="restart"/>
          <w:tcBorders>
            <w:top w:val="single" w:sz="4" w:space="0" w:color="00000A"/>
            <w:left w:val="single" w:sz="4" w:space="0" w:color="00000A"/>
            <w:bottom w:val="nil"/>
            <w:right w:val="single" w:sz="4" w:space="0" w:color="00000A"/>
          </w:tcBorders>
          <w:shd w:val="clear" w:color="auto" w:fill="FFFFFF"/>
          <w:tcMar>
            <w:left w:w="45" w:type="dxa"/>
          </w:tcMar>
          <w:vAlign w:val="center"/>
        </w:tcPr>
        <w:p w14:paraId="0410A159" w14:textId="77777777" w:rsidR="00241785" w:rsidRDefault="00241785">
          <w:pPr>
            <w:rPr>
              <w:sz w:val="16"/>
              <w:szCs w:val="16"/>
            </w:rPr>
          </w:pPr>
        </w:p>
        <w:p w14:paraId="0D0A80D1" w14:textId="77777777" w:rsidR="00241785" w:rsidRDefault="00C72DE6">
          <w:pPr>
            <w:jc w:val="center"/>
          </w:pPr>
          <w:r>
            <w:rPr>
              <w:noProof/>
              <w:lang w:val="es-CO" w:eastAsia="es-CO"/>
            </w:rPr>
            <w:drawing>
              <wp:inline distT="0" distB="0" distL="0" distR="0" wp14:anchorId="1A62D5A8" wp14:editId="5CAB512A">
                <wp:extent cx="419100" cy="508000"/>
                <wp:effectExtent l="0" t="0" r="0" b="0"/>
                <wp:docPr id="220" name="image1.png" descr="200px-Bogota_(escudo)_svg"/>
                <wp:cNvGraphicFramePr/>
                <a:graphic xmlns:a="http://schemas.openxmlformats.org/drawingml/2006/main">
                  <a:graphicData uri="http://schemas.openxmlformats.org/drawingml/2006/picture">
                    <pic:pic xmlns:pic="http://schemas.openxmlformats.org/drawingml/2006/picture">
                      <pic:nvPicPr>
                        <pic:cNvPr id="0" name="image1.png" descr="200px-Bogota_(escudo)_svg"/>
                        <pic:cNvPicPr preferRelativeResize="0"/>
                      </pic:nvPicPr>
                      <pic:blipFill>
                        <a:blip r:embed="rId1"/>
                        <a:srcRect/>
                        <a:stretch>
                          <a:fillRect/>
                        </a:stretch>
                      </pic:blipFill>
                      <pic:spPr>
                        <a:xfrm>
                          <a:off x="0" y="0"/>
                          <a:ext cx="419100" cy="508000"/>
                        </a:xfrm>
                        <a:prstGeom prst="rect">
                          <a:avLst/>
                        </a:prstGeom>
                        <a:ln/>
                      </pic:spPr>
                    </pic:pic>
                  </a:graphicData>
                </a:graphic>
              </wp:inline>
            </w:drawing>
          </w:r>
        </w:p>
        <w:p w14:paraId="66FC8F37" w14:textId="77777777" w:rsidR="00241785" w:rsidRDefault="00241785">
          <w:pPr>
            <w:rPr>
              <w:sz w:val="16"/>
              <w:szCs w:val="16"/>
            </w:rPr>
          </w:pPr>
        </w:p>
        <w:p w14:paraId="020F2127" w14:textId="77777777" w:rsidR="00241785" w:rsidRDefault="00C72DE6">
          <w:pPr>
            <w:jc w:val="center"/>
            <w:rPr>
              <w:sz w:val="16"/>
              <w:szCs w:val="16"/>
            </w:rPr>
          </w:pPr>
          <w:r>
            <w:rPr>
              <w:sz w:val="16"/>
              <w:szCs w:val="16"/>
            </w:rPr>
            <w:t>CONCEJO DE BOGOTÁ D.C.</w:t>
          </w:r>
        </w:p>
      </w:tc>
      <w:tc>
        <w:tcPr>
          <w:tcW w:w="4245" w:type="dxa"/>
          <w:tcBorders>
            <w:top w:val="single" w:sz="4" w:space="0" w:color="00000A"/>
            <w:left w:val="nil"/>
            <w:bottom w:val="single" w:sz="4" w:space="0" w:color="00000A"/>
            <w:right w:val="single" w:sz="4" w:space="0" w:color="00000A"/>
          </w:tcBorders>
          <w:shd w:val="clear" w:color="auto" w:fill="FFFFFF"/>
          <w:tcMar>
            <w:left w:w="70" w:type="dxa"/>
          </w:tcMar>
          <w:vAlign w:val="center"/>
        </w:tcPr>
        <w:p w14:paraId="1977856D" w14:textId="77777777" w:rsidR="00241785" w:rsidRDefault="00C72DE6">
          <w:pPr>
            <w:jc w:val="center"/>
            <w:rPr>
              <w:sz w:val="18"/>
              <w:szCs w:val="18"/>
            </w:rPr>
          </w:pPr>
          <w:r>
            <w:rPr>
              <w:sz w:val="18"/>
              <w:szCs w:val="18"/>
            </w:rPr>
            <w:t>PROCESO GESTIÓN NORMATIVA</w:t>
          </w:r>
        </w:p>
      </w:tc>
      <w:tc>
        <w:tcPr>
          <w:tcW w:w="2247" w:type="dxa"/>
          <w:tcBorders>
            <w:top w:val="single" w:sz="4" w:space="0" w:color="00000A"/>
            <w:left w:val="nil"/>
            <w:bottom w:val="single" w:sz="4" w:space="0" w:color="00000A"/>
            <w:right w:val="single" w:sz="4" w:space="0" w:color="000001"/>
          </w:tcBorders>
          <w:shd w:val="clear" w:color="auto" w:fill="FFFFFF"/>
          <w:tcMar>
            <w:left w:w="70" w:type="dxa"/>
          </w:tcMar>
          <w:vAlign w:val="center"/>
        </w:tcPr>
        <w:p w14:paraId="1946592E" w14:textId="77777777" w:rsidR="00241785" w:rsidRDefault="00C72DE6">
          <w:pPr>
            <w:rPr>
              <w:sz w:val="16"/>
              <w:szCs w:val="16"/>
            </w:rPr>
          </w:pPr>
          <w:r>
            <w:rPr>
              <w:sz w:val="16"/>
              <w:szCs w:val="16"/>
            </w:rPr>
            <w:t>CÓDIGO</w:t>
          </w:r>
          <w:r>
            <w:rPr>
              <w:color w:val="3366FF"/>
              <w:sz w:val="16"/>
              <w:szCs w:val="16"/>
            </w:rPr>
            <w:t xml:space="preserve">: </w:t>
          </w:r>
          <w:r>
            <w:rPr>
              <w:sz w:val="16"/>
              <w:szCs w:val="16"/>
            </w:rPr>
            <w:t>GNV-FO-001</w:t>
          </w:r>
        </w:p>
      </w:tc>
    </w:tr>
    <w:tr w:rsidR="00241785" w14:paraId="07A47001" w14:textId="77777777">
      <w:trPr>
        <w:trHeight w:val="323"/>
      </w:trPr>
      <w:tc>
        <w:tcPr>
          <w:tcW w:w="2356" w:type="dxa"/>
          <w:vMerge/>
          <w:tcBorders>
            <w:top w:val="single" w:sz="4" w:space="0" w:color="00000A"/>
            <w:left w:val="single" w:sz="4" w:space="0" w:color="00000A"/>
            <w:bottom w:val="nil"/>
            <w:right w:val="single" w:sz="4" w:space="0" w:color="00000A"/>
          </w:tcBorders>
          <w:shd w:val="clear" w:color="auto" w:fill="FFFFFF"/>
          <w:tcMar>
            <w:left w:w="45" w:type="dxa"/>
          </w:tcMar>
          <w:vAlign w:val="center"/>
        </w:tcPr>
        <w:p w14:paraId="09E3CE68" w14:textId="77777777" w:rsidR="00241785" w:rsidRDefault="00241785">
          <w:pPr>
            <w:widowControl w:val="0"/>
            <w:pBdr>
              <w:top w:val="nil"/>
              <w:left w:val="nil"/>
              <w:bottom w:val="nil"/>
              <w:right w:val="nil"/>
              <w:between w:val="nil"/>
            </w:pBdr>
            <w:spacing w:line="276" w:lineRule="auto"/>
            <w:rPr>
              <w:sz w:val="16"/>
              <w:szCs w:val="16"/>
            </w:rPr>
          </w:pPr>
        </w:p>
      </w:tc>
      <w:tc>
        <w:tcPr>
          <w:tcW w:w="4245" w:type="dxa"/>
          <w:vMerge w:val="restart"/>
          <w:tcBorders>
            <w:top w:val="single" w:sz="4" w:space="0" w:color="00000A"/>
            <w:left w:val="nil"/>
            <w:bottom w:val="nil"/>
            <w:right w:val="single" w:sz="4" w:space="0" w:color="00000A"/>
          </w:tcBorders>
          <w:shd w:val="clear" w:color="auto" w:fill="FFFFFF"/>
          <w:tcMar>
            <w:left w:w="70" w:type="dxa"/>
          </w:tcMar>
          <w:vAlign w:val="center"/>
        </w:tcPr>
        <w:p w14:paraId="03720FFA" w14:textId="77777777" w:rsidR="00241785" w:rsidRDefault="00C72DE6">
          <w:pPr>
            <w:jc w:val="center"/>
            <w:rPr>
              <w:sz w:val="20"/>
              <w:szCs w:val="20"/>
            </w:rPr>
          </w:pPr>
          <w:r>
            <w:rPr>
              <w:sz w:val="20"/>
              <w:szCs w:val="20"/>
            </w:rPr>
            <w:t>PRESENTACIÓN PROYECTOS DE ACUERDO</w:t>
          </w:r>
        </w:p>
      </w:tc>
      <w:tc>
        <w:tcPr>
          <w:tcW w:w="2247" w:type="dxa"/>
          <w:tcBorders>
            <w:top w:val="single" w:sz="4" w:space="0" w:color="00000A"/>
            <w:left w:val="nil"/>
            <w:bottom w:val="single" w:sz="4" w:space="0" w:color="00000A"/>
            <w:right w:val="single" w:sz="4" w:space="0" w:color="000001"/>
          </w:tcBorders>
          <w:shd w:val="clear" w:color="auto" w:fill="FFFFFF"/>
          <w:tcMar>
            <w:left w:w="70" w:type="dxa"/>
          </w:tcMar>
          <w:vAlign w:val="center"/>
        </w:tcPr>
        <w:p w14:paraId="49DB9308" w14:textId="77777777" w:rsidR="00241785" w:rsidRDefault="00C72DE6">
          <w:pPr>
            <w:rPr>
              <w:sz w:val="16"/>
              <w:szCs w:val="16"/>
            </w:rPr>
          </w:pPr>
          <w:r>
            <w:rPr>
              <w:sz w:val="16"/>
              <w:szCs w:val="16"/>
            </w:rPr>
            <w:t>VERSIÓN:    02</w:t>
          </w:r>
        </w:p>
      </w:tc>
    </w:tr>
    <w:tr w:rsidR="00241785" w14:paraId="7C1E962E" w14:textId="77777777">
      <w:trPr>
        <w:trHeight w:val="330"/>
      </w:trPr>
      <w:tc>
        <w:tcPr>
          <w:tcW w:w="2356" w:type="dxa"/>
          <w:vMerge/>
          <w:tcBorders>
            <w:top w:val="single" w:sz="4" w:space="0" w:color="00000A"/>
            <w:left w:val="single" w:sz="4" w:space="0" w:color="00000A"/>
            <w:bottom w:val="nil"/>
            <w:right w:val="single" w:sz="4" w:space="0" w:color="00000A"/>
          </w:tcBorders>
          <w:shd w:val="clear" w:color="auto" w:fill="FFFFFF"/>
          <w:tcMar>
            <w:left w:w="45" w:type="dxa"/>
          </w:tcMar>
          <w:vAlign w:val="center"/>
        </w:tcPr>
        <w:p w14:paraId="4A697E86" w14:textId="77777777" w:rsidR="00241785" w:rsidRDefault="00241785">
          <w:pPr>
            <w:widowControl w:val="0"/>
            <w:pBdr>
              <w:top w:val="nil"/>
              <w:left w:val="nil"/>
              <w:bottom w:val="nil"/>
              <w:right w:val="nil"/>
              <w:between w:val="nil"/>
            </w:pBdr>
            <w:spacing w:line="276" w:lineRule="auto"/>
            <w:rPr>
              <w:sz w:val="16"/>
              <w:szCs w:val="16"/>
            </w:rPr>
          </w:pPr>
        </w:p>
      </w:tc>
      <w:tc>
        <w:tcPr>
          <w:tcW w:w="4245" w:type="dxa"/>
          <w:vMerge/>
          <w:tcBorders>
            <w:top w:val="single" w:sz="4" w:space="0" w:color="00000A"/>
            <w:left w:val="nil"/>
            <w:bottom w:val="nil"/>
            <w:right w:val="single" w:sz="4" w:space="0" w:color="00000A"/>
          </w:tcBorders>
          <w:shd w:val="clear" w:color="auto" w:fill="FFFFFF"/>
          <w:tcMar>
            <w:left w:w="70" w:type="dxa"/>
          </w:tcMar>
          <w:vAlign w:val="center"/>
        </w:tcPr>
        <w:p w14:paraId="4C27C24E" w14:textId="77777777" w:rsidR="00241785" w:rsidRDefault="00241785">
          <w:pPr>
            <w:widowControl w:val="0"/>
            <w:pBdr>
              <w:top w:val="nil"/>
              <w:left w:val="nil"/>
              <w:bottom w:val="nil"/>
              <w:right w:val="nil"/>
              <w:between w:val="nil"/>
            </w:pBdr>
            <w:spacing w:line="276" w:lineRule="auto"/>
            <w:rPr>
              <w:sz w:val="16"/>
              <w:szCs w:val="16"/>
            </w:rPr>
          </w:pPr>
        </w:p>
      </w:tc>
      <w:tc>
        <w:tcPr>
          <w:tcW w:w="2247" w:type="dxa"/>
          <w:tcBorders>
            <w:top w:val="single" w:sz="4" w:space="0" w:color="00000A"/>
            <w:left w:val="nil"/>
            <w:bottom w:val="single" w:sz="4" w:space="0" w:color="00000A"/>
            <w:right w:val="single" w:sz="4" w:space="0" w:color="000001"/>
          </w:tcBorders>
          <w:shd w:val="clear" w:color="auto" w:fill="FFFFFF"/>
          <w:tcMar>
            <w:left w:w="70" w:type="dxa"/>
          </w:tcMar>
          <w:vAlign w:val="center"/>
        </w:tcPr>
        <w:p w14:paraId="2C560C32" w14:textId="77777777" w:rsidR="00241785" w:rsidRDefault="00C72DE6">
          <w:pPr>
            <w:rPr>
              <w:sz w:val="16"/>
              <w:szCs w:val="16"/>
            </w:rPr>
          </w:pPr>
          <w:r>
            <w:rPr>
              <w:sz w:val="16"/>
              <w:szCs w:val="16"/>
            </w:rPr>
            <w:t>FECHA: 14-Nov-2019</w:t>
          </w:r>
        </w:p>
      </w:tc>
    </w:tr>
  </w:tbl>
  <w:p w14:paraId="3C744F82" w14:textId="77777777" w:rsidR="00241785" w:rsidRDefault="00241785">
    <w:pPr>
      <w:pBdr>
        <w:top w:val="nil"/>
        <w:left w:val="nil"/>
        <w:bottom w:val="nil"/>
        <w:right w:val="nil"/>
        <w:between w:val="nil"/>
      </w:pBdr>
      <w:tabs>
        <w:tab w:val="center" w:pos="4419"/>
        <w:tab w:val="right" w:pos="8838"/>
      </w:tab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79F3E85"/>
    <w:multiLevelType w:val="multilevel"/>
    <w:tmpl w:val="78723D0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 w15:restartNumberingAfterBreak="0">
    <w:nsid w:val="2FFE5A4A"/>
    <w:multiLevelType w:val="multilevel"/>
    <w:tmpl w:val="306AD436"/>
    <w:lvl w:ilvl="0">
      <w:start w:val="1"/>
      <w:numFmt w:val="decimal"/>
      <w:lvlText w:val="%1."/>
      <w:lvlJc w:val="left"/>
      <w:pPr>
        <w:ind w:left="360" w:hanging="360"/>
      </w:pPr>
      <w:rPr>
        <w:b/>
      </w:rPr>
    </w:lvl>
    <w:lvl w:ilvl="1">
      <w:start w:val="1"/>
      <w:numFmt w:val="decimal"/>
      <w:lvlText w:val="%1.%2."/>
      <w:lvlJc w:val="left"/>
      <w:pPr>
        <w:ind w:left="720" w:hanging="720"/>
      </w:pPr>
    </w:lvl>
    <w:lvl w:ilvl="2">
      <w:start w:val="1"/>
      <w:numFmt w:val="decimal"/>
      <w:lvlText w:val="%1.%2.%3."/>
      <w:lvlJc w:val="left"/>
      <w:pPr>
        <w:ind w:left="1080" w:hanging="1080"/>
      </w:pPr>
      <w:rPr>
        <w:b/>
      </w:r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2" w15:restartNumberingAfterBreak="0">
    <w:nsid w:val="46835EA9"/>
    <w:multiLevelType w:val="multilevel"/>
    <w:tmpl w:val="833E8ABE"/>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 w15:restartNumberingAfterBreak="0">
    <w:nsid w:val="5E0662A0"/>
    <w:multiLevelType w:val="multilevel"/>
    <w:tmpl w:val="C82AAD9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15:restartNumberingAfterBreak="0">
    <w:nsid w:val="6FE74D02"/>
    <w:multiLevelType w:val="multilevel"/>
    <w:tmpl w:val="1EDC22C4"/>
    <w:lvl w:ilvl="0">
      <w:start w:val="5"/>
      <w:numFmt w:val="decimal"/>
      <w:lvlText w:val="%1."/>
      <w:lvlJc w:val="left"/>
      <w:pPr>
        <w:ind w:left="660" w:hanging="660"/>
      </w:pPr>
      <w:rPr>
        <w:rFonts w:ascii="Arial" w:eastAsia="Arial" w:hAnsi="Arial" w:cs="Arial"/>
        <w:b/>
      </w:rPr>
    </w:lvl>
    <w:lvl w:ilvl="1">
      <w:start w:val="1"/>
      <w:numFmt w:val="decimal"/>
      <w:lvlText w:val="%1.%2."/>
      <w:lvlJc w:val="left"/>
      <w:pPr>
        <w:ind w:left="660" w:hanging="660"/>
      </w:pPr>
    </w:lvl>
    <w:lvl w:ilvl="2">
      <w:start w:val="6"/>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num w:numId="1">
    <w:abstractNumId w:val="0"/>
  </w:num>
  <w:num w:numId="2">
    <w:abstractNumId w:val="2"/>
  </w:num>
  <w:num w:numId="3">
    <w:abstractNumId w:val="3"/>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1785"/>
    <w:rsid w:val="000A18DF"/>
    <w:rsid w:val="0017494F"/>
    <w:rsid w:val="00241785"/>
    <w:rsid w:val="002B026F"/>
    <w:rsid w:val="00322D7C"/>
    <w:rsid w:val="0042124A"/>
    <w:rsid w:val="004F3A5F"/>
    <w:rsid w:val="005B47AA"/>
    <w:rsid w:val="00666E24"/>
    <w:rsid w:val="006769B4"/>
    <w:rsid w:val="0070620D"/>
    <w:rsid w:val="00955D29"/>
    <w:rsid w:val="00C72DE6"/>
    <w:rsid w:val="00DA6D2B"/>
    <w:rsid w:val="00EB221C"/>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3FF998"/>
  <w15:docId w15:val="{7C044AA9-DE37-084D-93FB-72D6EA7F5A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4"/>
        <w:szCs w:val="24"/>
        <w:lang w:val="es-ES" w:eastAsia="es-MX"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F08CA"/>
    <w:rPr>
      <w:color w:val="000000"/>
    </w:rPr>
  </w:style>
  <w:style w:type="paragraph" w:styleId="Ttulo1">
    <w:name w:val="heading 1"/>
    <w:basedOn w:val="Normal"/>
    <w:next w:val="Normal"/>
    <w:link w:val="Ttulo1Car"/>
    <w:uiPriority w:val="9"/>
    <w:qFormat/>
    <w:rsid w:val="00AE7E3B"/>
    <w:pPr>
      <w:keepNext/>
      <w:jc w:val="center"/>
      <w:outlineLvl w:val="0"/>
    </w:pPr>
    <w:rPr>
      <w:rFonts w:ascii="Times New Roman" w:hAnsi="Times New Roman"/>
      <w:color w:val="auto"/>
      <w:lang w:val="es-MX"/>
    </w:rPr>
  </w:style>
  <w:style w:type="paragraph" w:styleId="Ttulo2">
    <w:name w:val="heading 2"/>
    <w:basedOn w:val="Normal"/>
    <w:next w:val="Normal"/>
    <w:link w:val="Ttulo2Car"/>
    <w:uiPriority w:val="9"/>
    <w:semiHidden/>
    <w:unhideWhenUsed/>
    <w:qFormat/>
    <w:rsid w:val="00AE7E3B"/>
    <w:pPr>
      <w:keepNext/>
      <w:outlineLvl w:val="1"/>
    </w:pPr>
    <w:rPr>
      <w:rFonts w:ascii="Times New Roman" w:hAnsi="Times New Roman"/>
      <w:color w:val="auto"/>
      <w:lang w:val="es-MX"/>
    </w:rPr>
  </w:style>
  <w:style w:type="paragraph" w:styleId="Ttulo3">
    <w:name w:val="heading 3"/>
    <w:basedOn w:val="Normal"/>
    <w:next w:val="Normal"/>
    <w:link w:val="Ttulo3Car"/>
    <w:uiPriority w:val="9"/>
    <w:semiHidden/>
    <w:unhideWhenUsed/>
    <w:qFormat/>
    <w:rsid w:val="004D64F2"/>
    <w:pPr>
      <w:keepNext/>
      <w:keepLines/>
      <w:spacing w:before="40" w:line="259" w:lineRule="auto"/>
      <w:outlineLvl w:val="2"/>
    </w:pPr>
    <w:rPr>
      <w:rFonts w:asciiTheme="majorHAnsi" w:eastAsiaTheme="majorEastAsia" w:hAnsiTheme="majorHAnsi" w:cstheme="majorBidi"/>
      <w:color w:val="243F60" w:themeColor="accent1" w:themeShade="7F"/>
      <w:lang w:val="es-CO" w:eastAsia="es-CO"/>
    </w:rPr>
  </w:style>
  <w:style w:type="paragraph" w:styleId="Ttulo4">
    <w:name w:val="heading 4"/>
    <w:basedOn w:val="Normal"/>
    <w:next w:val="Normal"/>
    <w:link w:val="Ttulo4Car"/>
    <w:uiPriority w:val="9"/>
    <w:semiHidden/>
    <w:unhideWhenUsed/>
    <w:qFormat/>
    <w:rsid w:val="00BD4F10"/>
    <w:pPr>
      <w:keepNext/>
      <w:spacing w:before="240" w:after="60"/>
      <w:outlineLvl w:val="3"/>
    </w:pPr>
    <w:rPr>
      <w:rFonts w:ascii="Times New Roman" w:hAnsi="Times New Roman"/>
      <w:b/>
      <w:bCs/>
      <w:color w:val="auto"/>
      <w:sz w:val="28"/>
      <w:szCs w:val="28"/>
    </w:rPr>
  </w:style>
  <w:style w:type="paragraph" w:styleId="Ttulo5">
    <w:name w:val="heading 5"/>
    <w:basedOn w:val="Normal"/>
    <w:next w:val="Normal"/>
    <w:link w:val="Ttulo5Car"/>
    <w:uiPriority w:val="9"/>
    <w:semiHidden/>
    <w:unhideWhenUsed/>
    <w:qFormat/>
    <w:rsid w:val="00776D41"/>
    <w:pPr>
      <w:keepNext/>
      <w:keepLines/>
      <w:spacing w:before="200"/>
      <w:outlineLvl w:val="4"/>
    </w:pPr>
    <w:rPr>
      <w:rFonts w:ascii="Cambria" w:hAnsi="Cambria"/>
      <w:color w:val="243F60"/>
    </w:rPr>
  </w:style>
  <w:style w:type="paragraph" w:styleId="Ttulo6">
    <w:name w:val="heading 6"/>
    <w:basedOn w:val="Normal"/>
    <w:next w:val="Normal"/>
    <w:link w:val="Ttulo6Car"/>
    <w:uiPriority w:val="9"/>
    <w:semiHidden/>
    <w:unhideWhenUsed/>
    <w:qFormat/>
    <w:rsid w:val="004D64F2"/>
    <w:pPr>
      <w:keepNext/>
      <w:keepLines/>
      <w:spacing w:before="200" w:after="40" w:line="259" w:lineRule="auto"/>
      <w:outlineLvl w:val="5"/>
    </w:pPr>
    <w:rPr>
      <w:rFonts w:ascii="Calibri" w:eastAsia="Calibri" w:hAnsi="Calibri" w:cs="Calibri"/>
      <w:b/>
      <w:color w:val="auto"/>
      <w:sz w:val="20"/>
      <w:lang w:val="es-CO" w:eastAsia="es-CO"/>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ar"/>
    <w:uiPriority w:val="10"/>
    <w:qFormat/>
    <w:rsid w:val="004D64F2"/>
    <w:pPr>
      <w:keepNext/>
      <w:keepLines/>
      <w:spacing w:before="480" w:after="120" w:line="259" w:lineRule="auto"/>
    </w:pPr>
    <w:rPr>
      <w:rFonts w:ascii="Calibri" w:eastAsia="Calibri" w:hAnsi="Calibri" w:cs="Calibri"/>
      <w:b/>
      <w:color w:val="auto"/>
      <w:sz w:val="72"/>
      <w:szCs w:val="72"/>
      <w:lang w:val="es-CO" w:eastAsia="es-CO"/>
    </w:rPr>
  </w:style>
  <w:style w:type="table" w:customStyle="1" w:styleId="TableNormal0">
    <w:name w:val="Table Normal"/>
    <w:tblPr>
      <w:tblCellMar>
        <w:top w:w="0" w:type="dxa"/>
        <w:left w:w="0" w:type="dxa"/>
        <w:bottom w:w="0" w:type="dxa"/>
        <w:right w:w="0" w:type="dxa"/>
      </w:tblCellMar>
    </w:tblPr>
  </w:style>
  <w:style w:type="character" w:customStyle="1" w:styleId="Ttulo1Car">
    <w:name w:val="Título 1 Car"/>
    <w:basedOn w:val="Fuentedeprrafopredeter"/>
    <w:link w:val="Ttulo1"/>
    <w:uiPriority w:val="9"/>
    <w:locked/>
    <w:rsid w:val="0078358A"/>
    <w:rPr>
      <w:rFonts w:ascii="Cambria" w:hAnsi="Cambria" w:cs="Times New Roman"/>
      <w:b/>
      <w:bCs/>
      <w:color w:val="000000"/>
      <w:kern w:val="32"/>
      <w:sz w:val="32"/>
      <w:szCs w:val="32"/>
    </w:rPr>
  </w:style>
  <w:style w:type="character" w:customStyle="1" w:styleId="Ttulo2Car">
    <w:name w:val="Título 2 Car"/>
    <w:basedOn w:val="Fuentedeprrafopredeter"/>
    <w:link w:val="Ttulo2"/>
    <w:uiPriority w:val="9"/>
    <w:locked/>
    <w:rsid w:val="0078358A"/>
    <w:rPr>
      <w:rFonts w:ascii="Cambria" w:hAnsi="Cambria" w:cs="Times New Roman"/>
      <w:b/>
      <w:bCs/>
      <w:i/>
      <w:iCs/>
      <w:color w:val="000000"/>
      <w:sz w:val="28"/>
      <w:szCs w:val="28"/>
    </w:rPr>
  </w:style>
  <w:style w:type="character" w:customStyle="1" w:styleId="Ttulo3Car">
    <w:name w:val="Título 3 Car"/>
    <w:basedOn w:val="Fuentedeprrafopredeter"/>
    <w:link w:val="Ttulo3"/>
    <w:uiPriority w:val="9"/>
    <w:rsid w:val="004D64F2"/>
    <w:rPr>
      <w:rFonts w:asciiTheme="majorHAnsi" w:eastAsiaTheme="majorEastAsia" w:hAnsiTheme="majorHAnsi" w:cstheme="majorBidi"/>
      <w:color w:val="243F60" w:themeColor="accent1" w:themeShade="7F"/>
      <w:sz w:val="24"/>
      <w:szCs w:val="24"/>
      <w:lang w:val="es-CO" w:eastAsia="es-CO"/>
    </w:rPr>
  </w:style>
  <w:style w:type="character" w:customStyle="1" w:styleId="Ttulo4Car">
    <w:name w:val="Título 4 Car"/>
    <w:basedOn w:val="Fuentedeprrafopredeter"/>
    <w:link w:val="Ttulo4"/>
    <w:uiPriority w:val="9"/>
    <w:locked/>
    <w:rsid w:val="00BD4F10"/>
    <w:rPr>
      <w:rFonts w:cs="Times New Roman"/>
      <w:b/>
      <w:sz w:val="28"/>
      <w:lang w:val="es-ES" w:eastAsia="es-ES"/>
    </w:rPr>
  </w:style>
  <w:style w:type="character" w:customStyle="1" w:styleId="Ttulo5Car">
    <w:name w:val="Título 5 Car"/>
    <w:basedOn w:val="Fuentedeprrafopredeter"/>
    <w:link w:val="Ttulo5"/>
    <w:uiPriority w:val="9"/>
    <w:locked/>
    <w:rsid w:val="00776D41"/>
    <w:rPr>
      <w:rFonts w:ascii="Cambria" w:hAnsi="Cambria" w:cs="Times New Roman"/>
      <w:color w:val="243F60"/>
      <w:sz w:val="24"/>
      <w:lang w:val="es-ES" w:eastAsia="es-ES"/>
    </w:rPr>
  </w:style>
  <w:style w:type="paragraph" w:styleId="Encabezado">
    <w:name w:val="header"/>
    <w:basedOn w:val="Normal"/>
    <w:link w:val="EncabezadoCar"/>
    <w:uiPriority w:val="99"/>
    <w:rsid w:val="00AE7E3B"/>
    <w:pPr>
      <w:tabs>
        <w:tab w:val="center" w:pos="4252"/>
        <w:tab w:val="right" w:pos="8504"/>
      </w:tabs>
    </w:pPr>
  </w:style>
  <w:style w:type="character" w:customStyle="1" w:styleId="EncabezadoCar">
    <w:name w:val="Encabezado Car"/>
    <w:basedOn w:val="Fuentedeprrafopredeter"/>
    <w:link w:val="Encabezado"/>
    <w:uiPriority w:val="99"/>
    <w:locked/>
    <w:rsid w:val="0078358A"/>
    <w:rPr>
      <w:rFonts w:ascii="Arial" w:hAnsi="Arial" w:cs="Times New Roman"/>
      <w:color w:val="000000"/>
      <w:sz w:val="20"/>
      <w:szCs w:val="20"/>
    </w:rPr>
  </w:style>
  <w:style w:type="paragraph" w:styleId="Piedepgina">
    <w:name w:val="footer"/>
    <w:basedOn w:val="Normal"/>
    <w:link w:val="PiedepginaCar"/>
    <w:uiPriority w:val="99"/>
    <w:rsid w:val="00AE7E3B"/>
    <w:pPr>
      <w:tabs>
        <w:tab w:val="center" w:pos="4252"/>
        <w:tab w:val="right" w:pos="8504"/>
      </w:tabs>
    </w:pPr>
  </w:style>
  <w:style w:type="character" w:customStyle="1" w:styleId="PiedepginaCar">
    <w:name w:val="Pie de página Car"/>
    <w:basedOn w:val="Fuentedeprrafopredeter"/>
    <w:link w:val="Piedepgina"/>
    <w:uiPriority w:val="99"/>
    <w:locked/>
    <w:rsid w:val="0078358A"/>
    <w:rPr>
      <w:rFonts w:ascii="Arial" w:hAnsi="Arial" w:cs="Times New Roman"/>
      <w:color w:val="000000"/>
      <w:sz w:val="20"/>
      <w:szCs w:val="20"/>
    </w:rPr>
  </w:style>
  <w:style w:type="paragraph" w:styleId="Textoindependiente">
    <w:name w:val="Body Text"/>
    <w:basedOn w:val="Normal"/>
    <w:link w:val="TextoindependienteCar"/>
    <w:uiPriority w:val="99"/>
    <w:rsid w:val="00AE7E3B"/>
    <w:pPr>
      <w:jc w:val="both"/>
    </w:pPr>
    <w:rPr>
      <w:rFonts w:ascii="Times New Roman" w:hAnsi="Times New Roman"/>
      <w:color w:val="auto"/>
      <w:lang w:val="es-MX"/>
    </w:rPr>
  </w:style>
  <w:style w:type="character" w:customStyle="1" w:styleId="TextoindependienteCar">
    <w:name w:val="Texto independiente Car"/>
    <w:basedOn w:val="Fuentedeprrafopredeter"/>
    <w:link w:val="Textoindependiente"/>
    <w:uiPriority w:val="99"/>
    <w:locked/>
    <w:rsid w:val="0078358A"/>
    <w:rPr>
      <w:rFonts w:ascii="Arial" w:hAnsi="Arial" w:cs="Times New Roman"/>
      <w:color w:val="000000"/>
      <w:sz w:val="20"/>
      <w:szCs w:val="20"/>
    </w:rPr>
  </w:style>
  <w:style w:type="character" w:styleId="Refdecomentario">
    <w:name w:val="annotation reference"/>
    <w:basedOn w:val="Fuentedeprrafopredeter"/>
    <w:uiPriority w:val="99"/>
    <w:semiHidden/>
    <w:rsid w:val="00AE7E3B"/>
    <w:rPr>
      <w:rFonts w:cs="Times New Roman"/>
      <w:sz w:val="16"/>
    </w:rPr>
  </w:style>
  <w:style w:type="paragraph" w:styleId="Textocomentario">
    <w:name w:val="annotation text"/>
    <w:basedOn w:val="Normal"/>
    <w:link w:val="TextocomentarioCar"/>
    <w:uiPriority w:val="99"/>
    <w:semiHidden/>
    <w:rsid w:val="00AE7E3B"/>
    <w:rPr>
      <w:sz w:val="20"/>
    </w:rPr>
  </w:style>
  <w:style w:type="character" w:customStyle="1" w:styleId="TextocomentarioCar">
    <w:name w:val="Texto comentario Car"/>
    <w:basedOn w:val="Fuentedeprrafopredeter"/>
    <w:link w:val="Textocomentario"/>
    <w:uiPriority w:val="99"/>
    <w:semiHidden/>
    <w:locked/>
    <w:rsid w:val="0078358A"/>
    <w:rPr>
      <w:rFonts w:ascii="Arial" w:hAnsi="Arial" w:cs="Times New Roman"/>
      <w:color w:val="000000"/>
      <w:sz w:val="20"/>
      <w:szCs w:val="20"/>
    </w:rPr>
  </w:style>
  <w:style w:type="table" w:styleId="Tablaconcuadrcula">
    <w:name w:val="Table Grid"/>
    <w:basedOn w:val="Tablanormal"/>
    <w:uiPriority w:val="39"/>
    <w:rsid w:val="00C52D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0844A8"/>
    <w:rPr>
      <w:rFonts w:cs="Times New Roman"/>
      <w:color w:val="0000FF"/>
      <w:u w:val="single"/>
    </w:rPr>
  </w:style>
  <w:style w:type="character" w:styleId="Nmerodepgina">
    <w:name w:val="page number"/>
    <w:basedOn w:val="Fuentedeprrafopredeter"/>
    <w:rsid w:val="00AD4793"/>
    <w:rPr>
      <w:rFonts w:cs="Times New Roman"/>
    </w:rPr>
  </w:style>
  <w:style w:type="paragraph" w:styleId="Textoindependiente2">
    <w:name w:val="Body Text 2"/>
    <w:basedOn w:val="Normal"/>
    <w:link w:val="Textoindependiente2Car"/>
    <w:rsid w:val="007B133B"/>
    <w:pPr>
      <w:spacing w:after="120" w:line="480" w:lineRule="auto"/>
    </w:pPr>
    <w:rPr>
      <w:rFonts w:ascii="Times New Roman" w:hAnsi="Times New Roman"/>
      <w:color w:val="auto"/>
    </w:rPr>
  </w:style>
  <w:style w:type="character" w:customStyle="1" w:styleId="Textoindependiente2Car">
    <w:name w:val="Texto independiente 2 Car"/>
    <w:basedOn w:val="Fuentedeprrafopredeter"/>
    <w:link w:val="Textoindependiente2"/>
    <w:locked/>
    <w:rsid w:val="0078358A"/>
    <w:rPr>
      <w:rFonts w:ascii="Arial" w:hAnsi="Arial" w:cs="Times New Roman"/>
      <w:color w:val="000000"/>
      <w:sz w:val="20"/>
      <w:szCs w:val="20"/>
    </w:rPr>
  </w:style>
  <w:style w:type="paragraph" w:styleId="Textoindependiente3">
    <w:name w:val="Body Text 3"/>
    <w:basedOn w:val="Normal"/>
    <w:link w:val="Textoindependiente3Car"/>
    <w:rsid w:val="00840C8F"/>
    <w:pPr>
      <w:spacing w:after="120"/>
    </w:pPr>
    <w:rPr>
      <w:sz w:val="16"/>
      <w:szCs w:val="16"/>
    </w:rPr>
  </w:style>
  <w:style w:type="character" w:customStyle="1" w:styleId="Textoindependiente3Car">
    <w:name w:val="Texto independiente 3 Car"/>
    <w:basedOn w:val="Fuentedeprrafopredeter"/>
    <w:link w:val="Textoindependiente3"/>
    <w:locked/>
    <w:rsid w:val="0078358A"/>
    <w:rPr>
      <w:rFonts w:ascii="Arial" w:hAnsi="Arial" w:cs="Times New Roman"/>
      <w:color w:val="000000"/>
      <w:sz w:val="16"/>
      <w:szCs w:val="16"/>
    </w:rPr>
  </w:style>
  <w:style w:type="paragraph" w:styleId="Textodeglobo">
    <w:name w:val="Balloon Text"/>
    <w:basedOn w:val="Normal"/>
    <w:link w:val="TextodegloboCar"/>
    <w:uiPriority w:val="99"/>
    <w:semiHidden/>
    <w:rsid w:val="00DD7435"/>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78358A"/>
    <w:rPr>
      <w:rFonts w:cs="Times New Roman"/>
      <w:color w:val="000000"/>
      <w:sz w:val="2"/>
    </w:rPr>
  </w:style>
  <w:style w:type="paragraph" w:styleId="Prrafodelista">
    <w:name w:val="List Paragraph"/>
    <w:aliases w:val="List1,LISTA,Párrafo de lista1,Ha,Resume Title,Bullet List,FooterText,numbered,List Paragraph1,Paragraphe de liste1,lp1,HOJA,Colorful List Accent 1,Colorful List - Accent 11,titulo 3,Colorful List - Accent 111,Bullets"/>
    <w:basedOn w:val="Normal"/>
    <w:link w:val="PrrafodelistaCar"/>
    <w:uiPriority w:val="34"/>
    <w:qFormat/>
    <w:rsid w:val="005C3311"/>
    <w:pPr>
      <w:ind w:left="708"/>
    </w:pPr>
  </w:style>
  <w:style w:type="character" w:customStyle="1" w:styleId="PrrafodelistaCar">
    <w:name w:val="Párrafo de lista Car"/>
    <w:aliases w:val="List1 Car,LISTA Car,Párrafo de lista1 Car,Ha Car,Resume Title Car,Bullet List Car,FooterText Car,numbered Car,List Paragraph1 Car,Paragraphe de liste1 Car,lp1 Car,HOJA Car,Colorful List Accent 1 Car,Colorful List - Accent 11 Car"/>
    <w:link w:val="Prrafodelista"/>
    <w:uiPriority w:val="34"/>
    <w:qFormat/>
    <w:locked/>
    <w:rsid w:val="009433FC"/>
    <w:rPr>
      <w:rFonts w:ascii="Arial" w:hAnsi="Arial"/>
      <w:color w:val="000000"/>
      <w:sz w:val="24"/>
    </w:rPr>
  </w:style>
  <w:style w:type="paragraph" w:customStyle="1" w:styleId="Table">
    <w:name w:val="Table"/>
    <w:basedOn w:val="Normal"/>
    <w:autoRedefine/>
    <w:uiPriority w:val="99"/>
    <w:rsid w:val="006F04EF"/>
    <w:pPr>
      <w:spacing w:before="40" w:after="40"/>
      <w:ind w:left="4" w:hanging="4"/>
    </w:pPr>
    <w:rPr>
      <w:b/>
      <w:sz w:val="20"/>
      <w:lang w:val="en-GB" w:eastAsia="en-US"/>
    </w:rPr>
  </w:style>
  <w:style w:type="paragraph" w:customStyle="1" w:styleId="Encabezado1">
    <w:name w:val="Encabezado 1"/>
    <w:basedOn w:val="Normal"/>
    <w:next w:val="Normal"/>
    <w:uiPriority w:val="9"/>
    <w:qFormat/>
    <w:rsid w:val="009433FC"/>
    <w:pPr>
      <w:keepNext/>
      <w:suppressAutoHyphens/>
      <w:jc w:val="center"/>
      <w:outlineLvl w:val="0"/>
    </w:pPr>
    <w:rPr>
      <w:rFonts w:asciiTheme="majorHAnsi" w:eastAsiaTheme="majorEastAsia" w:hAnsiTheme="majorHAnsi" w:cstheme="majorBidi"/>
      <w:color w:val="365F91" w:themeColor="accent1" w:themeShade="BF"/>
      <w:sz w:val="32"/>
      <w:szCs w:val="32"/>
    </w:rPr>
  </w:style>
  <w:style w:type="paragraph" w:customStyle="1" w:styleId="Encabezado2">
    <w:name w:val="Encabezado 2"/>
    <w:basedOn w:val="Normal"/>
    <w:next w:val="Normal"/>
    <w:qFormat/>
    <w:rsid w:val="009433FC"/>
    <w:pPr>
      <w:keepNext/>
      <w:suppressAutoHyphens/>
      <w:outlineLvl w:val="1"/>
    </w:pPr>
    <w:rPr>
      <w:rFonts w:asciiTheme="majorHAnsi" w:eastAsiaTheme="majorEastAsia" w:hAnsiTheme="majorHAnsi" w:cstheme="majorBidi"/>
      <w:color w:val="365F91" w:themeColor="accent1" w:themeShade="BF"/>
      <w:sz w:val="26"/>
      <w:szCs w:val="26"/>
    </w:rPr>
  </w:style>
  <w:style w:type="paragraph" w:customStyle="1" w:styleId="Encabezado3">
    <w:name w:val="Encabezado 3"/>
    <w:basedOn w:val="Encabezado"/>
    <w:rsid w:val="009433FC"/>
    <w:pPr>
      <w:keepNext/>
      <w:tabs>
        <w:tab w:val="clear" w:pos="4252"/>
        <w:tab w:val="clear" w:pos="8504"/>
      </w:tabs>
      <w:suppressAutoHyphens/>
      <w:spacing w:before="240" w:after="120"/>
    </w:pPr>
    <w:rPr>
      <w:sz w:val="20"/>
      <w:lang w:val="es-CO" w:eastAsia="es-CO"/>
    </w:rPr>
  </w:style>
  <w:style w:type="paragraph" w:customStyle="1" w:styleId="Encabezado4">
    <w:name w:val="Encabezado 4"/>
    <w:basedOn w:val="Normal"/>
    <w:next w:val="Normal"/>
    <w:qFormat/>
    <w:rsid w:val="009433FC"/>
    <w:pPr>
      <w:keepNext/>
      <w:suppressAutoHyphens/>
      <w:spacing w:before="240" w:after="60"/>
      <w:outlineLvl w:val="3"/>
    </w:pPr>
    <w:rPr>
      <w:rFonts w:ascii="Times New Roman" w:hAnsi="Times New Roman"/>
      <w:b/>
      <w:bCs/>
      <w:color w:val="00000A"/>
      <w:sz w:val="28"/>
      <w:szCs w:val="28"/>
    </w:rPr>
  </w:style>
  <w:style w:type="paragraph" w:customStyle="1" w:styleId="Encabezado5">
    <w:name w:val="Encabezado 5"/>
    <w:basedOn w:val="Normal"/>
    <w:next w:val="Normal"/>
    <w:qFormat/>
    <w:rsid w:val="009433FC"/>
    <w:pPr>
      <w:keepNext/>
      <w:keepLines/>
      <w:suppressAutoHyphens/>
      <w:spacing w:before="200"/>
      <w:outlineLvl w:val="4"/>
    </w:pPr>
    <w:rPr>
      <w:rFonts w:ascii="Cambria" w:hAnsi="Cambria"/>
      <w:color w:val="243F60"/>
    </w:rPr>
  </w:style>
  <w:style w:type="character" w:customStyle="1" w:styleId="EnlacedeInternet">
    <w:name w:val="Enlace de Internet"/>
    <w:uiPriority w:val="99"/>
    <w:semiHidden/>
    <w:unhideWhenUsed/>
    <w:rsid w:val="009433FC"/>
    <w:rPr>
      <w:rFonts w:cs="Times New Roman"/>
      <w:color w:val="0000FF"/>
      <w:u w:val="single"/>
    </w:rPr>
  </w:style>
  <w:style w:type="character" w:customStyle="1" w:styleId="TextonotapieCar">
    <w:name w:val="Texto nota pie Car"/>
    <w:aliases w:val="Footnote Text Char Char Char Char Char Car,Footnote Text Char Char Char Char Car,Footnote reference Car,FA Fu Car,Footnote Text Char Char Char Char Char Char Char Char Car,Footnote Text Char Char Char Char Char Char1 Car,ft Car"/>
    <w:link w:val="Textonotapie"/>
    <w:uiPriority w:val="99"/>
    <w:rsid w:val="009433FC"/>
    <w:rPr>
      <w:rFonts w:ascii="Arial" w:hAnsi="Arial"/>
      <w:color w:val="000000"/>
    </w:rPr>
  </w:style>
  <w:style w:type="paragraph" w:styleId="Textonotapie">
    <w:name w:val="footnote text"/>
    <w:aliases w:val="Footnote Text Char Char Char Char Char,Footnote Text Char Char Char Char,Footnote reference,FA Fu,Footnote Text Char Char Char Char Char Char Char Char,Footnote Text Char Char Char Char Char Char1,ft"/>
    <w:basedOn w:val="Normal"/>
    <w:link w:val="TextonotapieCar"/>
    <w:uiPriority w:val="99"/>
    <w:unhideWhenUsed/>
    <w:rsid w:val="009433FC"/>
    <w:pPr>
      <w:suppressAutoHyphens/>
    </w:pPr>
    <w:rPr>
      <w:sz w:val="20"/>
    </w:rPr>
  </w:style>
  <w:style w:type="character" w:styleId="Refdenotaalpie">
    <w:name w:val="footnote reference"/>
    <w:uiPriority w:val="99"/>
    <w:unhideWhenUsed/>
    <w:rsid w:val="009433FC"/>
    <w:rPr>
      <w:vertAlign w:val="superscript"/>
    </w:rPr>
  </w:style>
  <w:style w:type="character" w:customStyle="1" w:styleId="CharAttribute7">
    <w:name w:val="CharAttribute7"/>
    <w:rsid w:val="009433FC"/>
    <w:rPr>
      <w:rFonts w:ascii="Arial" w:eastAsia="Times New Roman" w:hAnsi="Arial" w:cs="Arial"/>
      <w:b/>
      <w:bCs w:val="0"/>
      <w:sz w:val="24"/>
    </w:rPr>
  </w:style>
  <w:style w:type="character" w:customStyle="1" w:styleId="apple-converted-space">
    <w:name w:val="apple-converted-space"/>
    <w:basedOn w:val="Fuentedeprrafopredeter"/>
    <w:rsid w:val="009433FC"/>
  </w:style>
  <w:style w:type="character" w:styleId="Textoennegrita">
    <w:name w:val="Strong"/>
    <w:uiPriority w:val="22"/>
    <w:qFormat/>
    <w:locked/>
    <w:rsid w:val="009433FC"/>
    <w:rPr>
      <w:b/>
      <w:bCs/>
    </w:rPr>
  </w:style>
  <w:style w:type="character" w:customStyle="1" w:styleId="titulonegrita1">
    <w:name w:val="titulonegrita1"/>
    <w:rsid w:val="009433FC"/>
  </w:style>
  <w:style w:type="character" w:customStyle="1" w:styleId="estilo35">
    <w:name w:val="estilo35"/>
    <w:rsid w:val="009433FC"/>
  </w:style>
  <w:style w:type="character" w:customStyle="1" w:styleId="estilo221">
    <w:name w:val="estilo221"/>
    <w:rsid w:val="009433FC"/>
  </w:style>
  <w:style w:type="character" w:customStyle="1" w:styleId="titulofondoverde">
    <w:name w:val="titulofondoverde"/>
    <w:rsid w:val="009433FC"/>
  </w:style>
  <w:style w:type="character" w:customStyle="1" w:styleId="estilo37">
    <w:name w:val="estilo37"/>
    <w:rsid w:val="009433FC"/>
  </w:style>
  <w:style w:type="character" w:customStyle="1" w:styleId="textoparrafo1">
    <w:name w:val="textoparrafo1"/>
    <w:rsid w:val="009433FC"/>
  </w:style>
  <w:style w:type="character" w:customStyle="1" w:styleId="estilo45">
    <w:name w:val="estilo45"/>
    <w:rsid w:val="009433FC"/>
  </w:style>
  <w:style w:type="character" w:customStyle="1" w:styleId="estilo44">
    <w:name w:val="estilo44"/>
    <w:rsid w:val="009433FC"/>
  </w:style>
  <w:style w:type="character" w:customStyle="1" w:styleId="estilo17">
    <w:name w:val="estilo17"/>
    <w:rsid w:val="009433FC"/>
  </w:style>
  <w:style w:type="character" w:customStyle="1" w:styleId="estilo24">
    <w:name w:val="estilo24"/>
    <w:rsid w:val="009433FC"/>
  </w:style>
  <w:style w:type="character" w:customStyle="1" w:styleId="ListLabel1">
    <w:name w:val="ListLabel 1"/>
    <w:rsid w:val="009433FC"/>
    <w:rPr>
      <w:rFonts w:eastAsia="Times New Roman"/>
    </w:rPr>
  </w:style>
  <w:style w:type="character" w:customStyle="1" w:styleId="ListLabel2">
    <w:name w:val="ListLabel 2"/>
    <w:rsid w:val="009433FC"/>
    <w:rPr>
      <w:b/>
      <w:bCs/>
    </w:rPr>
  </w:style>
  <w:style w:type="character" w:customStyle="1" w:styleId="ListLabel3">
    <w:name w:val="ListLabel 3"/>
    <w:rsid w:val="009433FC"/>
    <w:rPr>
      <w:b/>
    </w:rPr>
  </w:style>
  <w:style w:type="character" w:customStyle="1" w:styleId="ListLabel4">
    <w:name w:val="ListLabel 4"/>
    <w:rsid w:val="009433FC"/>
    <w:rPr>
      <w:rFonts w:cs="Courier New"/>
    </w:rPr>
  </w:style>
  <w:style w:type="character" w:customStyle="1" w:styleId="ListLabel5">
    <w:name w:val="ListLabel 5"/>
    <w:rsid w:val="009433FC"/>
    <w:rPr>
      <w:sz w:val="20"/>
    </w:rPr>
  </w:style>
  <w:style w:type="character" w:customStyle="1" w:styleId="Ancladenotaalpie">
    <w:name w:val="Ancla de nota al pie"/>
    <w:rsid w:val="009433FC"/>
    <w:rPr>
      <w:vertAlign w:val="superscript"/>
    </w:rPr>
  </w:style>
  <w:style w:type="character" w:customStyle="1" w:styleId="Ancladenotafinal">
    <w:name w:val="Ancla de nota final"/>
    <w:rsid w:val="009433FC"/>
    <w:rPr>
      <w:vertAlign w:val="superscript"/>
    </w:rPr>
  </w:style>
  <w:style w:type="character" w:customStyle="1" w:styleId="ListLabel6">
    <w:name w:val="ListLabel 6"/>
    <w:rsid w:val="009433FC"/>
    <w:rPr>
      <w:b/>
    </w:rPr>
  </w:style>
  <w:style w:type="character" w:customStyle="1" w:styleId="ListLabel7">
    <w:name w:val="ListLabel 7"/>
    <w:rsid w:val="009433FC"/>
    <w:rPr>
      <w:rFonts w:cs="Symbol"/>
      <w:sz w:val="20"/>
    </w:rPr>
  </w:style>
  <w:style w:type="character" w:customStyle="1" w:styleId="ListLabel8">
    <w:name w:val="ListLabel 8"/>
    <w:rsid w:val="009433FC"/>
    <w:rPr>
      <w:rFonts w:cs="Courier New"/>
      <w:sz w:val="20"/>
    </w:rPr>
  </w:style>
  <w:style w:type="character" w:customStyle="1" w:styleId="ListLabel9">
    <w:name w:val="ListLabel 9"/>
    <w:rsid w:val="009433FC"/>
    <w:rPr>
      <w:rFonts w:cs="Wingdings"/>
      <w:sz w:val="20"/>
    </w:rPr>
  </w:style>
  <w:style w:type="character" w:customStyle="1" w:styleId="Caracteresdenotaalpie">
    <w:name w:val="Caracteres de nota al pie"/>
    <w:rsid w:val="009433FC"/>
  </w:style>
  <w:style w:type="character" w:customStyle="1" w:styleId="Caracteresdenotafinal">
    <w:name w:val="Caracteres de nota final"/>
    <w:rsid w:val="009433FC"/>
  </w:style>
  <w:style w:type="character" w:customStyle="1" w:styleId="Ttulo1Car1">
    <w:name w:val="Título 1 Car1"/>
    <w:rsid w:val="009433FC"/>
    <w:rPr>
      <w:rFonts w:ascii="Cambria" w:hAnsi="Cambria"/>
      <w:color w:val="365F91"/>
      <w:sz w:val="32"/>
      <w:szCs w:val="32"/>
    </w:rPr>
  </w:style>
  <w:style w:type="character" w:customStyle="1" w:styleId="ListLabel10">
    <w:name w:val="ListLabel 10"/>
    <w:rsid w:val="009433FC"/>
    <w:rPr>
      <w:b/>
    </w:rPr>
  </w:style>
  <w:style w:type="character" w:customStyle="1" w:styleId="ListLabel11">
    <w:name w:val="ListLabel 11"/>
    <w:rsid w:val="009433FC"/>
    <w:rPr>
      <w:rFonts w:cs="Symbol"/>
      <w:sz w:val="20"/>
    </w:rPr>
  </w:style>
  <w:style w:type="character" w:customStyle="1" w:styleId="ListLabel12">
    <w:name w:val="ListLabel 12"/>
    <w:rsid w:val="009433FC"/>
    <w:rPr>
      <w:rFonts w:cs="Courier New"/>
      <w:sz w:val="20"/>
    </w:rPr>
  </w:style>
  <w:style w:type="character" w:customStyle="1" w:styleId="ListLabel13">
    <w:name w:val="ListLabel 13"/>
    <w:rsid w:val="009433FC"/>
    <w:rPr>
      <w:rFonts w:cs="Wingdings"/>
      <w:sz w:val="20"/>
    </w:rPr>
  </w:style>
  <w:style w:type="character" w:customStyle="1" w:styleId="ListLabel14">
    <w:name w:val="ListLabel 14"/>
    <w:rsid w:val="009433FC"/>
    <w:rPr>
      <w:u w:val="none"/>
    </w:rPr>
  </w:style>
  <w:style w:type="character" w:customStyle="1" w:styleId="ListLabel15">
    <w:name w:val="ListLabel 15"/>
    <w:rsid w:val="009433FC"/>
    <w:rPr>
      <w:rFonts w:cs="Courier New"/>
    </w:rPr>
  </w:style>
  <w:style w:type="character" w:customStyle="1" w:styleId="Muydestacado">
    <w:name w:val="Muy destacado"/>
    <w:rsid w:val="009433FC"/>
    <w:rPr>
      <w:b/>
      <w:bCs/>
    </w:rPr>
  </w:style>
  <w:style w:type="character" w:customStyle="1" w:styleId="Vietas">
    <w:name w:val="Viñetas"/>
    <w:rsid w:val="009433FC"/>
    <w:rPr>
      <w:rFonts w:ascii="OpenSymbol" w:eastAsia="OpenSymbol" w:hAnsi="OpenSymbol" w:cs="OpenSymbol"/>
    </w:rPr>
  </w:style>
  <w:style w:type="character" w:customStyle="1" w:styleId="Smbolosdenumeracin">
    <w:name w:val="Símbolos de numeración"/>
    <w:rsid w:val="009433FC"/>
  </w:style>
  <w:style w:type="character" w:customStyle="1" w:styleId="TextonotaalfinalCar">
    <w:name w:val="Texto nota al final Car"/>
    <w:link w:val="Textonotaalfinal"/>
    <w:uiPriority w:val="99"/>
    <w:semiHidden/>
    <w:rsid w:val="009433FC"/>
    <w:rPr>
      <w:rFonts w:ascii="Arial" w:hAnsi="Arial"/>
      <w:color w:val="000000"/>
    </w:rPr>
  </w:style>
  <w:style w:type="paragraph" w:styleId="Textonotaalfinal">
    <w:name w:val="endnote text"/>
    <w:basedOn w:val="Normal"/>
    <w:link w:val="TextonotaalfinalCar"/>
    <w:uiPriority w:val="99"/>
    <w:semiHidden/>
    <w:unhideWhenUsed/>
    <w:rsid w:val="009433FC"/>
    <w:pPr>
      <w:suppressAutoHyphens/>
    </w:pPr>
    <w:rPr>
      <w:sz w:val="20"/>
    </w:rPr>
  </w:style>
  <w:style w:type="character" w:styleId="Refdenotaalfinal">
    <w:name w:val="endnote reference"/>
    <w:uiPriority w:val="99"/>
    <w:semiHidden/>
    <w:unhideWhenUsed/>
    <w:rsid w:val="009433FC"/>
    <w:rPr>
      <w:vertAlign w:val="superscript"/>
    </w:rPr>
  </w:style>
  <w:style w:type="character" w:customStyle="1" w:styleId="ListLabel16">
    <w:name w:val="ListLabel 16"/>
    <w:rsid w:val="009433FC"/>
    <w:rPr>
      <w:sz w:val="20"/>
    </w:rPr>
  </w:style>
  <w:style w:type="character" w:customStyle="1" w:styleId="ListLabel17">
    <w:name w:val="ListLabel 17"/>
    <w:rsid w:val="009433FC"/>
    <w:rPr>
      <w:rFonts w:cs="Symbol"/>
      <w:sz w:val="20"/>
    </w:rPr>
  </w:style>
  <w:style w:type="character" w:customStyle="1" w:styleId="EncabezadoCar1">
    <w:name w:val="Encabezado Car1"/>
    <w:basedOn w:val="Fuentedeprrafopredeter"/>
    <w:uiPriority w:val="99"/>
    <w:semiHidden/>
    <w:rsid w:val="009433FC"/>
    <w:rPr>
      <w:rFonts w:ascii="Arial" w:hAnsi="Arial"/>
      <w:color w:val="000000"/>
      <w:sz w:val="24"/>
      <w:lang w:val="es-ES" w:eastAsia="es-ES"/>
    </w:rPr>
  </w:style>
  <w:style w:type="paragraph" w:customStyle="1" w:styleId="Cuerpodetexto">
    <w:name w:val="Cuerpo de texto"/>
    <w:basedOn w:val="Normal"/>
    <w:rsid w:val="009433FC"/>
    <w:pPr>
      <w:suppressAutoHyphens/>
      <w:spacing w:after="140" w:line="288" w:lineRule="auto"/>
      <w:jc w:val="both"/>
    </w:pPr>
    <w:rPr>
      <w:sz w:val="20"/>
      <w:lang w:val="es-CO" w:eastAsia="es-CO"/>
    </w:rPr>
  </w:style>
  <w:style w:type="paragraph" w:styleId="Lista">
    <w:name w:val="List"/>
    <w:basedOn w:val="Cuerpodetexto"/>
    <w:rsid w:val="009433FC"/>
    <w:rPr>
      <w:rFonts w:cs="FreeSans"/>
    </w:rPr>
  </w:style>
  <w:style w:type="paragraph" w:customStyle="1" w:styleId="Pie">
    <w:name w:val="Pie"/>
    <w:basedOn w:val="Normal"/>
    <w:rsid w:val="009433FC"/>
    <w:pPr>
      <w:suppressLineNumbers/>
      <w:suppressAutoHyphens/>
      <w:spacing w:before="120" w:after="120"/>
    </w:pPr>
    <w:rPr>
      <w:rFonts w:cs="FreeSans"/>
      <w:i/>
      <w:iCs/>
    </w:rPr>
  </w:style>
  <w:style w:type="paragraph" w:customStyle="1" w:styleId="ndice">
    <w:name w:val="Índice"/>
    <w:basedOn w:val="Normal"/>
    <w:rsid w:val="009433FC"/>
    <w:pPr>
      <w:suppressLineNumbers/>
      <w:suppressAutoHyphens/>
    </w:pPr>
    <w:rPr>
      <w:rFonts w:cs="FreeSans"/>
    </w:rPr>
  </w:style>
  <w:style w:type="paragraph" w:customStyle="1" w:styleId="Encabezamiento">
    <w:name w:val="Encabezamiento"/>
    <w:basedOn w:val="Normal"/>
    <w:rsid w:val="009433FC"/>
    <w:pPr>
      <w:keepNext/>
      <w:tabs>
        <w:tab w:val="center" w:pos="4252"/>
        <w:tab w:val="right" w:pos="8504"/>
      </w:tabs>
      <w:suppressAutoHyphens/>
      <w:spacing w:before="240" w:after="120"/>
    </w:pPr>
    <w:rPr>
      <w:rFonts w:ascii="Liberation Sans" w:eastAsia="Droid Sans Fallback" w:hAnsi="Liberation Sans" w:cs="FreeSans"/>
      <w:sz w:val="28"/>
      <w:szCs w:val="28"/>
    </w:rPr>
  </w:style>
  <w:style w:type="character" w:customStyle="1" w:styleId="PiedepginaCar1">
    <w:name w:val="Pie de página Car1"/>
    <w:basedOn w:val="Fuentedeprrafopredeter"/>
    <w:uiPriority w:val="99"/>
    <w:semiHidden/>
    <w:rsid w:val="009433FC"/>
    <w:rPr>
      <w:rFonts w:ascii="Arial" w:hAnsi="Arial"/>
      <w:color w:val="000000"/>
      <w:sz w:val="24"/>
      <w:lang w:val="es-ES" w:eastAsia="es-ES"/>
    </w:rPr>
  </w:style>
  <w:style w:type="character" w:customStyle="1" w:styleId="TextocomentarioCar1">
    <w:name w:val="Texto comentario Car1"/>
    <w:basedOn w:val="Fuentedeprrafopredeter"/>
    <w:uiPriority w:val="99"/>
    <w:semiHidden/>
    <w:rsid w:val="009433FC"/>
    <w:rPr>
      <w:rFonts w:ascii="Arial" w:hAnsi="Arial"/>
      <w:color w:val="000000"/>
      <w:lang w:val="es-ES" w:eastAsia="es-ES"/>
    </w:rPr>
  </w:style>
  <w:style w:type="character" w:customStyle="1" w:styleId="Textoindependiente2Car1">
    <w:name w:val="Texto independiente 2 Car1"/>
    <w:basedOn w:val="Fuentedeprrafopredeter"/>
    <w:uiPriority w:val="99"/>
    <w:semiHidden/>
    <w:rsid w:val="009433FC"/>
    <w:rPr>
      <w:rFonts w:ascii="Arial" w:hAnsi="Arial"/>
      <w:color w:val="000000"/>
      <w:sz w:val="24"/>
      <w:lang w:val="es-ES" w:eastAsia="es-ES"/>
    </w:rPr>
  </w:style>
  <w:style w:type="character" w:customStyle="1" w:styleId="Textoindependiente3Car1">
    <w:name w:val="Texto independiente 3 Car1"/>
    <w:basedOn w:val="Fuentedeprrafopredeter"/>
    <w:uiPriority w:val="99"/>
    <w:semiHidden/>
    <w:rsid w:val="009433FC"/>
    <w:rPr>
      <w:rFonts w:ascii="Arial" w:hAnsi="Arial"/>
      <w:color w:val="000000"/>
      <w:sz w:val="16"/>
      <w:szCs w:val="16"/>
      <w:lang w:val="es-ES" w:eastAsia="es-ES"/>
    </w:rPr>
  </w:style>
  <w:style w:type="character" w:customStyle="1" w:styleId="TextodegloboCar1">
    <w:name w:val="Texto de globo Car1"/>
    <w:basedOn w:val="Fuentedeprrafopredeter"/>
    <w:uiPriority w:val="99"/>
    <w:semiHidden/>
    <w:rsid w:val="009433FC"/>
    <w:rPr>
      <w:rFonts w:ascii="Segoe UI" w:hAnsi="Segoe UI" w:cs="Segoe UI"/>
      <w:color w:val="000000"/>
      <w:sz w:val="18"/>
      <w:szCs w:val="18"/>
      <w:lang w:val="es-ES" w:eastAsia="es-ES"/>
    </w:rPr>
  </w:style>
  <w:style w:type="paragraph" w:customStyle="1" w:styleId="Tabla">
    <w:name w:val="Tabla"/>
    <w:basedOn w:val="Normal"/>
    <w:autoRedefine/>
    <w:rsid w:val="009433FC"/>
    <w:pPr>
      <w:suppressAutoHyphens/>
      <w:spacing w:before="40" w:after="40"/>
      <w:ind w:left="4" w:hanging="4"/>
    </w:pPr>
    <w:rPr>
      <w:b/>
      <w:sz w:val="20"/>
      <w:lang w:val="en-GB" w:eastAsia="en-US"/>
    </w:rPr>
  </w:style>
  <w:style w:type="character" w:customStyle="1" w:styleId="TextonotapieCar1">
    <w:name w:val="Texto nota pie Car1"/>
    <w:basedOn w:val="Fuentedeprrafopredeter"/>
    <w:uiPriority w:val="99"/>
    <w:semiHidden/>
    <w:rsid w:val="009433FC"/>
    <w:rPr>
      <w:rFonts w:ascii="Arial" w:hAnsi="Arial"/>
      <w:color w:val="000000"/>
    </w:rPr>
  </w:style>
  <w:style w:type="paragraph" w:customStyle="1" w:styleId="ParaAttribute9">
    <w:name w:val="ParaAttribute9"/>
    <w:rsid w:val="009433FC"/>
    <w:pPr>
      <w:suppressAutoHyphens/>
      <w:spacing w:before="280" w:after="280"/>
      <w:jc w:val="both"/>
    </w:pPr>
    <w:rPr>
      <w:rFonts w:eastAsia="¹Å"/>
      <w:color w:val="00000A"/>
      <w:lang w:val="es-CO" w:eastAsia="es-CO"/>
    </w:rPr>
  </w:style>
  <w:style w:type="paragraph" w:styleId="NormalWeb">
    <w:name w:val="Normal (Web)"/>
    <w:basedOn w:val="Normal"/>
    <w:link w:val="NormalWebCar"/>
    <w:uiPriority w:val="99"/>
    <w:unhideWhenUsed/>
    <w:rsid w:val="009433FC"/>
    <w:pPr>
      <w:suppressAutoHyphens/>
      <w:spacing w:after="280"/>
    </w:pPr>
    <w:rPr>
      <w:rFonts w:ascii="Times New Roman" w:hAnsi="Times New Roman"/>
      <w:color w:val="00000A"/>
      <w:lang w:val="es-CO" w:eastAsia="es-CO"/>
    </w:rPr>
  </w:style>
  <w:style w:type="character" w:customStyle="1" w:styleId="NormalWebCar">
    <w:name w:val="Normal (Web) Car"/>
    <w:link w:val="NormalWeb"/>
    <w:uiPriority w:val="99"/>
    <w:locked/>
    <w:rsid w:val="009433FC"/>
    <w:rPr>
      <w:color w:val="00000A"/>
      <w:sz w:val="24"/>
      <w:szCs w:val="24"/>
      <w:lang w:val="es-CO" w:eastAsia="es-CO"/>
    </w:rPr>
  </w:style>
  <w:style w:type="paragraph" w:customStyle="1" w:styleId="titulonegrita">
    <w:name w:val="titulonegrita"/>
    <w:basedOn w:val="Normal"/>
    <w:rsid w:val="009433FC"/>
    <w:pPr>
      <w:suppressAutoHyphens/>
      <w:spacing w:after="280"/>
    </w:pPr>
    <w:rPr>
      <w:rFonts w:ascii="Times New Roman" w:hAnsi="Times New Roman"/>
      <w:color w:val="00000A"/>
      <w:lang w:val="es-CO" w:eastAsia="es-CO"/>
    </w:rPr>
  </w:style>
  <w:style w:type="paragraph" w:customStyle="1" w:styleId="textoparrafo">
    <w:name w:val="textoparrafo"/>
    <w:basedOn w:val="Normal"/>
    <w:rsid w:val="009433FC"/>
    <w:pPr>
      <w:suppressAutoHyphens/>
      <w:spacing w:after="280"/>
    </w:pPr>
    <w:rPr>
      <w:rFonts w:ascii="Times New Roman" w:hAnsi="Times New Roman"/>
      <w:color w:val="00000A"/>
      <w:lang w:val="es-CO" w:eastAsia="es-CO"/>
    </w:rPr>
  </w:style>
  <w:style w:type="paragraph" w:customStyle="1" w:styleId="estilo22">
    <w:name w:val="estilo22"/>
    <w:basedOn w:val="Normal"/>
    <w:rsid w:val="009433FC"/>
    <w:pPr>
      <w:suppressAutoHyphens/>
      <w:spacing w:after="280"/>
    </w:pPr>
    <w:rPr>
      <w:rFonts w:ascii="Times New Roman" w:hAnsi="Times New Roman"/>
      <w:color w:val="00000A"/>
      <w:lang w:val="es-CO" w:eastAsia="es-CO"/>
    </w:rPr>
  </w:style>
  <w:style w:type="paragraph" w:customStyle="1" w:styleId="estilo23">
    <w:name w:val="estilo23"/>
    <w:basedOn w:val="Normal"/>
    <w:rsid w:val="009433FC"/>
    <w:pPr>
      <w:suppressAutoHyphens/>
      <w:spacing w:after="280"/>
    </w:pPr>
    <w:rPr>
      <w:rFonts w:ascii="Times New Roman" w:hAnsi="Times New Roman"/>
      <w:color w:val="00000A"/>
      <w:lang w:val="es-CO" w:eastAsia="es-CO"/>
    </w:rPr>
  </w:style>
  <w:style w:type="paragraph" w:customStyle="1" w:styleId="Sombreadomedio1-nfasis11">
    <w:name w:val="Sombreado medio 1 - Énfasis 11"/>
    <w:uiPriority w:val="1"/>
    <w:qFormat/>
    <w:rsid w:val="009433FC"/>
    <w:pPr>
      <w:suppressAutoHyphens/>
    </w:pPr>
    <w:rPr>
      <w:rFonts w:ascii="Calibri" w:eastAsia="Calibri" w:hAnsi="Calibri"/>
      <w:color w:val="00000A"/>
      <w:sz w:val="22"/>
      <w:szCs w:val="22"/>
      <w:lang w:eastAsia="en-US"/>
    </w:rPr>
  </w:style>
  <w:style w:type="paragraph" w:customStyle="1" w:styleId="Notaalpie">
    <w:name w:val="Nota al pie"/>
    <w:basedOn w:val="Normal"/>
    <w:rsid w:val="009433FC"/>
    <w:pPr>
      <w:suppressAutoHyphens/>
    </w:pPr>
  </w:style>
  <w:style w:type="character" w:customStyle="1" w:styleId="TextonotaalfinalCar1">
    <w:name w:val="Texto nota al final Car1"/>
    <w:basedOn w:val="Fuentedeprrafopredeter"/>
    <w:uiPriority w:val="99"/>
    <w:semiHidden/>
    <w:rsid w:val="009433FC"/>
    <w:rPr>
      <w:rFonts w:ascii="Arial" w:hAnsi="Arial"/>
      <w:color w:val="000000"/>
    </w:rPr>
  </w:style>
  <w:style w:type="paragraph" w:customStyle="1" w:styleId="subtit">
    <w:name w:val="subtit"/>
    <w:basedOn w:val="Normal"/>
    <w:rsid w:val="009433FC"/>
    <w:pPr>
      <w:suppressAutoHyphens/>
      <w:spacing w:after="280"/>
    </w:pPr>
    <w:rPr>
      <w:rFonts w:ascii="Times New Roman" w:hAnsi="Times New Roman"/>
      <w:color w:val="00000A"/>
      <w:lang w:val="es-CO" w:eastAsia="es-CO"/>
    </w:rPr>
  </w:style>
  <w:style w:type="paragraph" w:customStyle="1" w:styleId="parrafo">
    <w:name w:val="parrafo"/>
    <w:basedOn w:val="Normal"/>
    <w:rsid w:val="009433FC"/>
    <w:pPr>
      <w:suppressAutoHyphens/>
      <w:spacing w:after="280"/>
    </w:pPr>
    <w:rPr>
      <w:rFonts w:ascii="Times New Roman" w:hAnsi="Times New Roman"/>
      <w:color w:val="00000A"/>
      <w:lang w:val="es-CO" w:eastAsia="es-CO"/>
    </w:rPr>
  </w:style>
  <w:style w:type="paragraph" w:styleId="Cita">
    <w:name w:val="Quote"/>
    <w:basedOn w:val="Normal"/>
    <w:link w:val="CitaCar"/>
    <w:rsid w:val="009433FC"/>
    <w:pPr>
      <w:suppressAutoHyphens/>
    </w:pPr>
  </w:style>
  <w:style w:type="character" w:customStyle="1" w:styleId="CitaCar">
    <w:name w:val="Cita Car"/>
    <w:basedOn w:val="Fuentedeprrafopredeter"/>
    <w:link w:val="Cita"/>
    <w:rsid w:val="009433FC"/>
    <w:rPr>
      <w:rFonts w:ascii="Arial" w:hAnsi="Arial"/>
      <w:color w:val="000000"/>
      <w:sz w:val="24"/>
    </w:rPr>
  </w:style>
  <w:style w:type="paragraph" w:customStyle="1" w:styleId="Ttulo10">
    <w:name w:val="Título1"/>
    <w:basedOn w:val="Encabezado"/>
    <w:rsid w:val="009433FC"/>
    <w:pPr>
      <w:keepNext/>
      <w:tabs>
        <w:tab w:val="clear" w:pos="4252"/>
        <w:tab w:val="clear" w:pos="8504"/>
      </w:tabs>
      <w:suppressAutoHyphens/>
      <w:spacing w:before="240" w:after="120"/>
    </w:pPr>
    <w:rPr>
      <w:sz w:val="20"/>
      <w:lang w:val="es-CO" w:eastAsia="es-CO"/>
    </w:rPr>
  </w:style>
  <w:style w:type="paragraph" w:styleId="Subttulo">
    <w:name w:val="Subtitle"/>
    <w:basedOn w:val="Normal"/>
    <w:next w:val="Normal"/>
    <w:link w:val="SubttuloCar"/>
    <w:uiPriority w:val="11"/>
    <w:qFormat/>
    <w:pPr>
      <w:keepNext/>
      <w:tabs>
        <w:tab w:val="center" w:pos="4252"/>
        <w:tab w:val="right" w:pos="8504"/>
      </w:tabs>
      <w:spacing w:before="240" w:after="120"/>
    </w:pPr>
    <w:rPr>
      <w:sz w:val="20"/>
      <w:szCs w:val="20"/>
    </w:rPr>
  </w:style>
  <w:style w:type="character" w:customStyle="1" w:styleId="SubttuloCar">
    <w:name w:val="Subtítulo Car"/>
    <w:basedOn w:val="Fuentedeprrafopredeter"/>
    <w:link w:val="Subttulo"/>
    <w:uiPriority w:val="11"/>
    <w:rsid w:val="009433FC"/>
    <w:rPr>
      <w:rFonts w:ascii="Arial" w:hAnsi="Arial"/>
      <w:color w:val="000000"/>
      <w:lang w:val="es-CO" w:eastAsia="es-CO"/>
    </w:rPr>
  </w:style>
  <w:style w:type="character" w:customStyle="1" w:styleId="CharAttribute15">
    <w:name w:val="CharAttribute15"/>
    <w:rsid w:val="009433FC"/>
    <w:rPr>
      <w:rFonts w:ascii="Arial" w:eastAsia="Times New Roman"/>
      <w:sz w:val="24"/>
    </w:rPr>
  </w:style>
  <w:style w:type="paragraph" w:customStyle="1" w:styleId="ParaAttribute16">
    <w:name w:val="ParaAttribute16"/>
    <w:rsid w:val="009433FC"/>
    <w:pPr>
      <w:ind w:hanging="705"/>
      <w:jc w:val="both"/>
    </w:pPr>
    <w:rPr>
      <w:rFonts w:eastAsia="¹Å"/>
      <w:lang w:val="es-CO" w:eastAsia="es-CO"/>
    </w:rPr>
  </w:style>
  <w:style w:type="paragraph" w:customStyle="1" w:styleId="Prrafodelista2">
    <w:name w:val="Párrafo de lista2"/>
    <w:basedOn w:val="Normal"/>
    <w:uiPriority w:val="99"/>
    <w:rsid w:val="009433FC"/>
    <w:pPr>
      <w:ind w:left="708"/>
      <w:jc w:val="both"/>
    </w:pPr>
  </w:style>
  <w:style w:type="paragraph" w:customStyle="1" w:styleId="subt2copiar">
    <w:name w:val="subt2copiar"/>
    <w:basedOn w:val="Normal"/>
    <w:rsid w:val="009433FC"/>
    <w:pPr>
      <w:spacing w:before="100" w:beforeAutospacing="1" w:after="100" w:afterAutospacing="1"/>
    </w:pPr>
    <w:rPr>
      <w:rFonts w:ascii="Times New Roman" w:hAnsi="Times New Roman"/>
      <w:color w:val="auto"/>
      <w:lang w:val="en-US" w:eastAsia="en-US"/>
    </w:rPr>
  </w:style>
  <w:style w:type="paragraph" w:customStyle="1" w:styleId="subt2">
    <w:name w:val="subt2"/>
    <w:basedOn w:val="Normal"/>
    <w:rsid w:val="009433FC"/>
    <w:pPr>
      <w:spacing w:before="100" w:beforeAutospacing="1" w:after="100" w:afterAutospacing="1"/>
    </w:pPr>
    <w:rPr>
      <w:rFonts w:ascii="Times New Roman" w:hAnsi="Times New Roman"/>
      <w:color w:val="auto"/>
      <w:lang w:val="en-US" w:eastAsia="en-US"/>
    </w:rPr>
  </w:style>
  <w:style w:type="paragraph" w:customStyle="1" w:styleId="Default">
    <w:name w:val="Default"/>
    <w:rsid w:val="009433FC"/>
    <w:pPr>
      <w:autoSpaceDE w:val="0"/>
      <w:autoSpaceDN w:val="0"/>
      <w:adjustRightInd w:val="0"/>
    </w:pPr>
    <w:rPr>
      <w:color w:val="000000"/>
      <w:lang w:val="es-CO" w:eastAsia="es-CO"/>
    </w:rPr>
  </w:style>
  <w:style w:type="character" w:customStyle="1" w:styleId="Ttulo1Car2">
    <w:name w:val="Título 1 Car2"/>
    <w:rsid w:val="009433FC"/>
    <w:rPr>
      <w:sz w:val="24"/>
      <w:lang w:val="es-MX" w:eastAsia="es-ES"/>
    </w:rPr>
  </w:style>
  <w:style w:type="character" w:styleId="nfasis">
    <w:name w:val="Emphasis"/>
    <w:uiPriority w:val="20"/>
    <w:qFormat/>
    <w:locked/>
    <w:rsid w:val="009433FC"/>
    <w:rPr>
      <w:i/>
      <w:iCs/>
    </w:rPr>
  </w:style>
  <w:style w:type="character" w:styleId="Hipervnculovisitado">
    <w:name w:val="FollowedHyperlink"/>
    <w:uiPriority w:val="99"/>
    <w:semiHidden/>
    <w:unhideWhenUsed/>
    <w:rsid w:val="009433FC"/>
    <w:rPr>
      <w:color w:val="954F72"/>
      <w:u w:val="single"/>
    </w:rPr>
  </w:style>
  <w:style w:type="paragraph" w:styleId="Asuntodelcomentario">
    <w:name w:val="annotation subject"/>
    <w:basedOn w:val="Textocomentario"/>
    <w:next w:val="Textocomentario"/>
    <w:link w:val="AsuntodelcomentarioCar"/>
    <w:uiPriority w:val="99"/>
    <w:semiHidden/>
    <w:unhideWhenUsed/>
    <w:rsid w:val="009433FC"/>
    <w:pPr>
      <w:suppressAutoHyphens/>
    </w:pPr>
    <w:rPr>
      <w:b/>
      <w:bCs/>
      <w:lang w:val="es-CO" w:eastAsia="es-CO"/>
    </w:rPr>
  </w:style>
  <w:style w:type="character" w:customStyle="1" w:styleId="AsuntodelcomentarioCar">
    <w:name w:val="Asunto del comentario Car"/>
    <w:basedOn w:val="TextocomentarioCar"/>
    <w:link w:val="Asuntodelcomentario"/>
    <w:uiPriority w:val="99"/>
    <w:semiHidden/>
    <w:rsid w:val="009433FC"/>
    <w:rPr>
      <w:rFonts w:ascii="Arial" w:hAnsi="Arial" w:cs="Times New Roman"/>
      <w:b/>
      <w:bCs/>
      <w:color w:val="000000"/>
      <w:sz w:val="20"/>
      <w:szCs w:val="20"/>
      <w:lang w:val="es-CO" w:eastAsia="es-CO"/>
    </w:rPr>
  </w:style>
  <w:style w:type="character" w:customStyle="1" w:styleId="Ttulo2Car1">
    <w:name w:val="Título 2 Car1"/>
    <w:rsid w:val="009433FC"/>
    <w:rPr>
      <w:rFonts w:ascii="Calibri Light" w:hAnsi="Calibri Light"/>
      <w:b/>
      <w:bCs/>
      <w:i/>
      <w:iCs/>
      <w:color w:val="000000"/>
      <w:sz w:val="28"/>
      <w:szCs w:val="28"/>
      <w:lang w:val="es-ES" w:eastAsia="es-ES"/>
    </w:rPr>
  </w:style>
  <w:style w:type="paragraph" w:customStyle="1" w:styleId="Normal1">
    <w:name w:val="Normal1"/>
    <w:rsid w:val="002853FF"/>
    <w:rPr>
      <w:lang w:eastAsia="en-US"/>
    </w:rPr>
  </w:style>
  <w:style w:type="character" w:customStyle="1" w:styleId="Ttulo6Car">
    <w:name w:val="Título 6 Car"/>
    <w:basedOn w:val="Fuentedeprrafopredeter"/>
    <w:link w:val="Ttulo6"/>
    <w:uiPriority w:val="9"/>
    <w:semiHidden/>
    <w:rsid w:val="004D64F2"/>
    <w:rPr>
      <w:rFonts w:ascii="Calibri" w:eastAsia="Calibri" w:hAnsi="Calibri" w:cs="Calibri"/>
      <w:b/>
      <w:lang w:val="es-CO" w:eastAsia="es-CO"/>
    </w:rPr>
  </w:style>
  <w:style w:type="character" w:customStyle="1" w:styleId="TtuloCar">
    <w:name w:val="Título Car"/>
    <w:basedOn w:val="Fuentedeprrafopredeter"/>
    <w:link w:val="Ttulo"/>
    <w:uiPriority w:val="10"/>
    <w:rsid w:val="004D64F2"/>
    <w:rPr>
      <w:rFonts w:ascii="Calibri" w:eastAsia="Calibri" w:hAnsi="Calibri" w:cs="Calibri"/>
      <w:b/>
      <w:sz w:val="72"/>
      <w:szCs w:val="72"/>
      <w:lang w:val="es-CO" w:eastAsia="es-CO"/>
    </w:rPr>
  </w:style>
  <w:style w:type="paragraph" w:customStyle="1" w:styleId="prrafodelista1">
    <w:name w:val="prrafodelista1"/>
    <w:basedOn w:val="Normal"/>
    <w:rsid w:val="004D64F2"/>
    <w:pPr>
      <w:spacing w:before="100" w:beforeAutospacing="1" w:after="100" w:afterAutospacing="1"/>
    </w:pPr>
    <w:rPr>
      <w:rFonts w:ascii="Times New Roman" w:hAnsi="Times New Roman"/>
      <w:color w:val="auto"/>
      <w:lang w:val="es-MX"/>
    </w:rPr>
  </w:style>
  <w:style w:type="paragraph" w:customStyle="1" w:styleId="listparagraph">
    <w:name w:val="listparagraph"/>
    <w:basedOn w:val="Normal"/>
    <w:rsid w:val="004D64F2"/>
    <w:pPr>
      <w:spacing w:before="100" w:beforeAutospacing="1" w:after="100" w:afterAutospacing="1"/>
    </w:pPr>
    <w:rPr>
      <w:rFonts w:ascii="Times New Roman" w:hAnsi="Times New Roman"/>
      <w:color w:val="auto"/>
      <w:lang w:val="es-MX"/>
    </w:rPr>
  </w:style>
  <w:style w:type="paragraph" w:customStyle="1" w:styleId="contenido">
    <w:name w:val="contenido"/>
    <w:basedOn w:val="Normal"/>
    <w:rsid w:val="004D64F2"/>
    <w:pPr>
      <w:spacing w:before="100" w:beforeAutospacing="1" w:after="100" w:afterAutospacing="1"/>
    </w:pPr>
    <w:rPr>
      <w:rFonts w:ascii="Times New Roman" w:hAnsi="Times New Roman"/>
      <w:color w:val="auto"/>
      <w:lang w:val="es-MX"/>
    </w:rPr>
  </w:style>
  <w:style w:type="character" w:customStyle="1" w:styleId="baj">
    <w:name w:val="b_aj"/>
    <w:basedOn w:val="Fuentedeprrafopredeter"/>
    <w:rsid w:val="004D64F2"/>
  </w:style>
  <w:style w:type="paragraph" w:styleId="Bibliografa">
    <w:name w:val="Bibliography"/>
    <w:basedOn w:val="Normal"/>
    <w:next w:val="Normal"/>
    <w:uiPriority w:val="37"/>
    <w:unhideWhenUsed/>
    <w:rsid w:val="004D64F2"/>
    <w:pPr>
      <w:spacing w:after="160" w:line="259" w:lineRule="auto"/>
    </w:pPr>
    <w:rPr>
      <w:rFonts w:ascii="Calibri" w:eastAsia="Calibri" w:hAnsi="Calibri" w:cs="Calibri"/>
      <w:color w:val="auto"/>
      <w:sz w:val="22"/>
      <w:szCs w:val="22"/>
      <w:lang w:val="es-CO" w:eastAsia="es-CO"/>
    </w:rPr>
  </w:style>
  <w:style w:type="table" w:customStyle="1" w:styleId="a">
    <w:basedOn w:val="TableNormal0"/>
    <w:tblPr>
      <w:tblStyleRowBandSize w:val="1"/>
      <w:tblStyleColBandSize w:val="1"/>
      <w:tblCellMar>
        <w:left w:w="108" w:type="dxa"/>
        <w:right w:w="108" w:type="dxa"/>
      </w:tblCellMar>
    </w:tblPr>
  </w:style>
  <w:style w:type="table" w:customStyle="1" w:styleId="a0">
    <w:basedOn w:val="TableNormal0"/>
    <w:tblPr>
      <w:tblStyleRowBandSize w:val="1"/>
      <w:tblStyleColBandSize w:val="1"/>
      <w:tblCellMar>
        <w:top w:w="100" w:type="dxa"/>
        <w:left w:w="100" w:type="dxa"/>
        <w:bottom w:w="100" w:type="dxa"/>
        <w:right w:w="100" w:type="dxa"/>
      </w:tblCellMar>
    </w:tblPr>
  </w:style>
  <w:style w:type="table" w:customStyle="1" w:styleId="a1">
    <w:basedOn w:val="TableNormal0"/>
    <w:tblPr>
      <w:tblStyleRowBandSize w:val="1"/>
      <w:tblStyleColBandSize w:val="1"/>
      <w:tblCellMar>
        <w:left w:w="115" w:type="dxa"/>
        <w:right w:w="115" w:type="dxa"/>
      </w:tblCellMar>
    </w:tblPr>
  </w:style>
  <w:style w:type="table" w:customStyle="1" w:styleId="a2">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alcaldiabogota.gov.co/sisjur/normas/Norma1.jsp?i=25932"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alcaldiabogota.gov.co/sisjur/normas/Norma1.jsp?i=14501"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alcaldiabogota.gov.co/sisjur/normas/Norma1.jsp?i=25932"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portafolio.co/negocios/industrias/la-informalidad-es-el-principal-problema-del-sector-acicam-608903" TargetMode="External"/><Relationship Id="rId7" Type="http://schemas.openxmlformats.org/officeDocument/2006/relationships/hyperlink" Target="https://www.idiger.gov.co/documents/220605/1442764/Identificaci%C3%B3n+y+priorizaci%C3%B3n+.pdf/d0dc38d4-596b-4011-b11e-7e332b652f61" TargetMode="External"/><Relationship Id="rId2" Type="http://schemas.openxmlformats.org/officeDocument/2006/relationships/hyperlink" Target="https://www.dane.gov.co/index.php/estadisticas-por-tema/comercio-interno/encuesta-mensual-de-comercio-emc" TargetMode="External"/><Relationship Id="rId1" Type="http://schemas.openxmlformats.org/officeDocument/2006/relationships/hyperlink" Target="https://www.dane.gov.co/files/operaciones/PIB/bol-PIB-IIItrim2024.pdf" TargetMode="External"/><Relationship Id="rId6" Type="http://schemas.openxmlformats.org/officeDocument/2006/relationships/hyperlink" Target="https://old.integracionsocial.gov.co/anexos/documentos/1_entidad/gsi/15_antonio_narino_lectura_de_realidades_restrepo_social.pdf" TargetMode="External"/><Relationship Id="rId5" Type="http://schemas.openxmlformats.org/officeDocument/2006/relationships/hyperlink" Target="https://bibliotecadigital.ccb.org.co/items/bacb5cee-0b74-41af-8223-f1bf31eef1e3" TargetMode="External"/><Relationship Id="rId4" Type="http://schemas.openxmlformats.org/officeDocument/2006/relationships/hyperlink" Target="https://www.larepublica.co/empresas/cada-ano-se-calcula-que-un-colombiano-compra-en-promedio-dos-pares-de-zapatos-3909844"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wmFqcoWcnNwuC6BkFaMM0EnNavA==">CgMxLjAyCGguZ2pkZ3hzMg1oLjZ2YWpmaHJpMHBvMg5oLjk3bHF3bXB0eG4yMjgAciExUzhSS05UcG5CbFZUUlVTVmZuZEZleTNBYkI0bGJPdnc=</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4342</Words>
  <Characters>23886</Characters>
  <Application>Microsoft Office Word</Application>
  <DocSecurity>0</DocSecurity>
  <Lines>199</Lines>
  <Paragraphs>56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28172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WILSON L. MORENO C.</dc:creator>
  <cp:lastModifiedBy>GLORIA INES CELY LUNA</cp:lastModifiedBy>
  <cp:revision>2</cp:revision>
  <dcterms:created xsi:type="dcterms:W3CDTF">2025-01-27T13:07:00Z</dcterms:created>
  <dcterms:modified xsi:type="dcterms:W3CDTF">2025-01-27T13:07:00Z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283675389</vt:i4>
  </property>
</Properties>
</file>